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第五章安全事故调查与安全生产统计分析</w:t>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大纲要求</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1．生产安全事故的报告、调查、处理。</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2．安全生产统计分析。</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考点汇总与分值解析</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1823720"/>
            <wp:effectExtent l="19050" t="0" r="254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
                    <a:stretch>
                      <a:fillRect/>
                    </a:stretch>
                  </pic:blipFill>
                  <pic:spPr>
                    <a:xfrm>
                      <a:off x="0" y="0"/>
                      <a:ext cx="5274310" cy="1823720"/>
                    </a:xfrm>
                    <a:prstGeom prst="rect">
                      <a:avLst/>
                    </a:prstGeom>
                  </pic:spPr>
                </pic:pic>
              </a:graphicData>
            </a:graphic>
          </wp:inline>
        </w:drawing>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考点精编</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考点一</w:t>
      </w:r>
      <w:r>
        <w:rPr>
          <w:rFonts w:hint="eastAsia" w:ascii="微软雅黑" w:hAnsi="微软雅黑" w:eastAsia="微软雅黑" w:cs="微软雅黑"/>
          <w:color w:val="000000"/>
          <w:sz w:val="18"/>
          <w:szCs w:val="18"/>
        </w:rPr>
        <w:t>生产安全事故的分级(表5一1)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5—1生产安全事故的分级</w:t>
      </w:r>
    </w:p>
    <w:tbl>
      <w:tblPr>
        <w:tblStyle w:val="4"/>
        <w:tblW w:w="8400" w:type="dxa"/>
        <w:tblInd w:w="15" w:type="dxa"/>
        <w:tblLayout w:type="fixed"/>
        <w:tblCellMar>
          <w:top w:w="0" w:type="dxa"/>
          <w:left w:w="0" w:type="dxa"/>
          <w:bottom w:w="0" w:type="dxa"/>
          <w:right w:w="0" w:type="dxa"/>
        </w:tblCellMar>
      </w:tblPr>
      <w:tblGrid>
        <w:gridCol w:w="1588"/>
        <w:gridCol w:w="6812"/>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12"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特别重大事故</w:t>
            </w:r>
          </w:p>
          <w:p>
            <w:pPr>
              <w:autoSpaceDE w:val="0"/>
              <w:autoSpaceDN w:val="0"/>
              <w:rPr>
                <w:rFonts w:hint="eastAsia" w:ascii="微软雅黑" w:hAnsi="微软雅黑" w:eastAsia="微软雅黑" w:cs="微软雅黑"/>
                <w:color w:val="000000"/>
                <w:kern w:val="0"/>
                <w:sz w:val="18"/>
                <w:szCs w:val="18"/>
              </w:rPr>
            </w:pP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造成死亡</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人以上</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，或者重伤</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人以上</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重伤</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包括急性工业中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毒，下同</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，或者直接经济损失</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亿元以上</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亿元</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的事故</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重大事故</w:t>
            </w:r>
          </w:p>
          <w:p>
            <w:pPr>
              <w:autoSpaceDE w:val="0"/>
              <w:autoSpaceDN w:val="0"/>
              <w:rPr>
                <w:rFonts w:hint="eastAsia" w:ascii="微软雅黑" w:hAnsi="微软雅黑" w:eastAsia="微软雅黑" w:cs="微软雅黑"/>
                <w:color w:val="000000"/>
                <w:kern w:val="0"/>
                <w:sz w:val="18"/>
                <w:szCs w:val="18"/>
              </w:rPr>
            </w:pP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造成死亡</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人以上</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人</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人以下，或者重伤</w:t>
            </w:r>
            <w:r>
              <w:rPr>
                <w:rFonts w:hint="eastAsia" w:ascii="微软雅黑" w:hAnsi="微软雅黑" w:eastAsia="微软雅黑" w:cs="微软雅黑"/>
                <w:color w:val="000000"/>
                <w:kern w:val="0"/>
                <w:sz w:val="18"/>
                <w:szCs w:val="18"/>
              </w:rPr>
              <w:t>50</w:t>
            </w:r>
            <w:r>
              <w:rPr>
                <w:rFonts w:hint="eastAsia" w:ascii="微软雅黑" w:hAnsi="微软雅黑" w:eastAsia="微软雅黑" w:cs="微软雅黑"/>
                <w:color w:val="000000"/>
                <w:kern w:val="0"/>
                <w:sz w:val="18"/>
                <w:szCs w:val="18"/>
              </w:rPr>
              <w:t>人以上</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w:t>
            </w:r>
            <w:r>
              <w:rPr>
                <w:rFonts w:hint="eastAsia" w:ascii="微软雅黑" w:hAnsi="微软雅黑" w:eastAsia="微软雅黑" w:cs="微软雅黑"/>
                <w:color w:val="000000"/>
                <w:kern w:val="0"/>
                <w:sz w:val="18"/>
                <w:szCs w:val="18"/>
              </w:rPr>
              <w:t>50</w:t>
            </w:r>
            <w:r>
              <w:rPr>
                <w:rFonts w:hint="eastAsia" w:ascii="微软雅黑" w:hAnsi="微软雅黑" w:eastAsia="微软雅黑" w:cs="微软雅黑"/>
                <w:color w:val="000000"/>
                <w:kern w:val="0"/>
                <w:sz w:val="18"/>
                <w:szCs w:val="18"/>
              </w:rPr>
              <w:t>人</w:t>
            </w:r>
            <w:r>
              <w:rPr>
                <w:rFonts w:hint="eastAsia" w:ascii="微软雅黑" w:hAnsi="微软雅黑" w:eastAsia="微软雅黑" w:cs="微软雅黑"/>
                <w:color w:val="000000"/>
                <w:kern w:val="0"/>
                <w:sz w:val="18"/>
                <w:szCs w:val="18"/>
              </w:rPr>
              <w:t>)i00</w:t>
            </w:r>
            <w:r>
              <w:rPr>
                <w:rFonts w:hint="eastAsia" w:ascii="微软雅黑" w:hAnsi="微软雅黑" w:eastAsia="微软雅黑" w:cs="微软雅黑"/>
                <w:color w:val="000000"/>
                <w:kern w:val="0"/>
                <w:sz w:val="18"/>
                <w:szCs w:val="18"/>
              </w:rPr>
              <w:t>人以下，或</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者直接经济损失</w:t>
            </w:r>
            <w:r>
              <w:rPr>
                <w:rFonts w:hint="eastAsia" w:ascii="微软雅黑" w:hAnsi="微软雅黑" w:eastAsia="微软雅黑" w:cs="微软雅黑"/>
                <w:color w:val="000000"/>
                <w:kern w:val="0"/>
                <w:sz w:val="18"/>
                <w:szCs w:val="18"/>
              </w:rPr>
              <w:t>5000</w:t>
            </w:r>
            <w:r>
              <w:rPr>
                <w:rFonts w:hint="eastAsia" w:ascii="微软雅黑" w:hAnsi="微软雅黑" w:eastAsia="微软雅黑" w:cs="微软雅黑"/>
                <w:color w:val="000000"/>
                <w:kern w:val="0"/>
                <w:sz w:val="18"/>
                <w:szCs w:val="18"/>
              </w:rPr>
              <w:t>万元以上</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w:t>
            </w:r>
            <w:r>
              <w:rPr>
                <w:rFonts w:hint="eastAsia" w:ascii="微软雅黑" w:hAnsi="微软雅黑" w:eastAsia="微软雅黑" w:cs="微软雅黑"/>
                <w:color w:val="000000"/>
                <w:kern w:val="0"/>
                <w:sz w:val="18"/>
                <w:szCs w:val="18"/>
              </w:rPr>
              <w:t>5000</w:t>
            </w:r>
            <w:r>
              <w:rPr>
                <w:rFonts w:hint="eastAsia" w:ascii="微软雅黑" w:hAnsi="微软雅黑" w:eastAsia="微软雅黑" w:cs="微软雅黑"/>
                <w:color w:val="000000"/>
                <w:kern w:val="0"/>
                <w:sz w:val="18"/>
                <w:szCs w:val="18"/>
              </w:rPr>
              <w:t>万元</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亿元以下的事故</w:t>
            </w:r>
          </w:p>
        </w:tc>
      </w:tr>
      <w:tr>
        <w:tblPrEx>
          <w:tblLayout w:type="fixed"/>
          <w:tblCellMar>
            <w:top w:w="0" w:type="dxa"/>
            <w:left w:w="0" w:type="dxa"/>
            <w:bottom w:w="0" w:type="dxa"/>
            <w:right w:w="0" w:type="dxa"/>
          </w:tblCellMar>
        </w:tblPrEx>
        <w:trPr>
          <w:trHeight w:val="80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较大事故</w:t>
            </w:r>
          </w:p>
          <w:p>
            <w:pPr>
              <w:autoSpaceDE w:val="0"/>
              <w:autoSpaceDN w:val="0"/>
              <w:rPr>
                <w:rFonts w:hint="eastAsia" w:ascii="微软雅黑" w:hAnsi="微软雅黑" w:eastAsia="微软雅黑" w:cs="微软雅黑"/>
                <w:color w:val="000000"/>
                <w:kern w:val="0"/>
                <w:sz w:val="18"/>
                <w:szCs w:val="18"/>
              </w:rPr>
            </w:pPr>
          </w:p>
        </w:tc>
        <w:tc>
          <w:tcPr>
            <w:tcW w:w="6812"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造成死亡</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人以上</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人</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人以下，或者重伤</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人以上</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人</w:t>
            </w:r>
            <w:r>
              <w:rPr>
                <w:rFonts w:hint="eastAsia" w:ascii="微软雅黑" w:hAnsi="微软雅黑" w:eastAsia="微软雅黑" w:cs="微软雅黑"/>
                <w:color w:val="000000"/>
                <w:kern w:val="0"/>
                <w:sz w:val="18"/>
                <w:szCs w:val="18"/>
              </w:rPr>
              <w:t>)50</w:t>
            </w:r>
            <w:r>
              <w:rPr>
                <w:rFonts w:hint="eastAsia" w:ascii="微软雅黑" w:hAnsi="微软雅黑" w:eastAsia="微软雅黑" w:cs="微软雅黑"/>
                <w:color w:val="000000"/>
                <w:kern w:val="0"/>
                <w:sz w:val="18"/>
                <w:szCs w:val="18"/>
              </w:rPr>
              <w:t>人以下，或者直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接经济损失</w:t>
            </w:r>
            <w:r>
              <w:rPr>
                <w:rFonts w:hint="eastAsia" w:ascii="微软雅黑" w:hAnsi="微软雅黑" w:eastAsia="微软雅黑" w:cs="微软雅黑"/>
                <w:color w:val="000000"/>
                <w:kern w:val="0"/>
                <w:sz w:val="18"/>
                <w:szCs w:val="18"/>
              </w:rPr>
              <w:t>1000</w:t>
            </w:r>
            <w:r>
              <w:rPr>
                <w:rFonts w:hint="eastAsia" w:ascii="微软雅黑" w:hAnsi="微软雅黑" w:eastAsia="微软雅黑" w:cs="微软雅黑"/>
                <w:color w:val="000000"/>
                <w:kern w:val="0"/>
                <w:sz w:val="18"/>
                <w:szCs w:val="18"/>
              </w:rPr>
              <w:t>万元以上</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w:t>
            </w:r>
            <w:r>
              <w:rPr>
                <w:rFonts w:hint="eastAsia" w:ascii="微软雅黑" w:hAnsi="微软雅黑" w:eastAsia="微软雅黑" w:cs="微软雅黑"/>
                <w:color w:val="000000"/>
                <w:kern w:val="0"/>
                <w:sz w:val="18"/>
                <w:szCs w:val="18"/>
              </w:rPr>
              <w:t>1000</w:t>
            </w:r>
            <w:r>
              <w:rPr>
                <w:rFonts w:hint="eastAsia" w:ascii="微软雅黑" w:hAnsi="微软雅黑" w:eastAsia="微软雅黑" w:cs="微软雅黑"/>
                <w:color w:val="000000"/>
                <w:kern w:val="0"/>
                <w:sz w:val="18"/>
                <w:szCs w:val="18"/>
              </w:rPr>
              <w:t>万元</w:t>
            </w:r>
            <w:r>
              <w:rPr>
                <w:rFonts w:hint="eastAsia" w:ascii="微软雅黑" w:hAnsi="微软雅黑" w:eastAsia="微软雅黑" w:cs="微软雅黑"/>
                <w:color w:val="000000"/>
                <w:kern w:val="0"/>
                <w:sz w:val="18"/>
                <w:szCs w:val="18"/>
              </w:rPr>
              <w:t>)5000</w:t>
            </w:r>
            <w:r>
              <w:rPr>
                <w:rFonts w:hint="eastAsia" w:ascii="微软雅黑" w:hAnsi="微软雅黑" w:eastAsia="微软雅黑" w:cs="微软雅黑"/>
                <w:color w:val="000000"/>
                <w:kern w:val="0"/>
                <w:sz w:val="18"/>
                <w:szCs w:val="18"/>
              </w:rPr>
              <w:t>万元以下的事故</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一般事故</w:t>
            </w:r>
          </w:p>
        </w:tc>
        <w:tc>
          <w:tcPr>
            <w:tcW w:w="6812"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造成死亡</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人以下，或者重伤</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人以下，或者直接经济损失</w:t>
            </w:r>
            <w:r>
              <w:rPr>
                <w:rFonts w:hint="eastAsia" w:ascii="微软雅黑" w:hAnsi="微软雅黑" w:eastAsia="微软雅黑" w:cs="微软雅黑"/>
                <w:color w:val="000000"/>
                <w:kern w:val="0"/>
                <w:sz w:val="18"/>
                <w:szCs w:val="18"/>
              </w:rPr>
              <w:t>1000</w:t>
            </w:r>
            <w:r>
              <w:rPr>
                <w:rFonts w:hint="eastAsia" w:ascii="微软雅黑" w:hAnsi="微软雅黑" w:eastAsia="微软雅黑" w:cs="微软雅黑"/>
                <w:color w:val="000000"/>
                <w:kern w:val="0"/>
                <w:sz w:val="18"/>
                <w:szCs w:val="18"/>
              </w:rPr>
              <w:t>万元以下的事故</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考点二事故的分类</w:t>
      </w:r>
      <w:r>
        <w:rPr>
          <w:rFonts w:hint="eastAsia" w:ascii="微软雅黑" w:hAnsi="微软雅黑" w:eastAsia="微软雅黑" w:cs="微软雅黑"/>
          <w:color w:val="000000"/>
          <w:sz w:val="18"/>
          <w:szCs w:val="18"/>
        </w:rPr>
        <w:t>(表5—2)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5—2事故的分类</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2"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事故的类别</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根据《企业职工伤亡事故分类标准》</w:t>
            </w:r>
            <w:r>
              <w:rPr>
                <w:rFonts w:hint="eastAsia" w:ascii="微软雅黑" w:hAnsi="微软雅黑" w:eastAsia="微软雅黑" w:cs="微软雅黑"/>
                <w:color w:val="000000"/>
                <w:kern w:val="0"/>
                <w:sz w:val="18"/>
                <w:szCs w:val="18"/>
              </w:rPr>
              <w:t>(GB6441)</w:t>
            </w:r>
            <w:r>
              <w:rPr>
                <w:rFonts w:hint="eastAsia" w:ascii="微软雅黑" w:hAnsi="微软雅黑" w:eastAsia="微软雅黑" w:cs="微软雅黑"/>
                <w:color w:val="000000"/>
                <w:kern w:val="0"/>
                <w:sz w:val="18"/>
                <w:szCs w:val="18"/>
              </w:rPr>
              <w:t>，事故的类别包括：物体打击、车辆伤害、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机械伤害、起重伤害、触电、淹溺、灼烫、火灾、高处坠落、坍塌、冒顶片帮、透水、放炮、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火药爆炸、瓦斯爆炸、锅炉爆炸、容器爆炸、其他爆炸、中毒和窒息、其他伤害</w:t>
            </w:r>
          </w:p>
        </w:tc>
      </w:tr>
      <w:tr>
        <w:tblPrEx>
          <w:tblLayout w:type="fixed"/>
          <w:tblCellMar>
            <w:top w:w="0" w:type="dxa"/>
            <w:left w:w="0" w:type="dxa"/>
            <w:bottom w:w="0" w:type="dxa"/>
            <w:right w:w="0" w:type="dxa"/>
          </w:tblCellMar>
        </w:tblPrEx>
        <w:trPr>
          <w:trHeight w:val="30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伤害事故分类</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伤害事故根据事故造成的伤害程度，分为轻伤事故、重伤事故和死亡事故</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w:t>
      </w:r>
      <w:r>
        <w:rPr>
          <w:rFonts w:hint="eastAsia" w:ascii="微软雅黑" w:hAnsi="微软雅黑" w:eastAsia="微软雅黑" w:cs="微软雅黑"/>
          <w:color w:val="000000"/>
          <w:sz w:val="18"/>
          <w:szCs w:val="18"/>
        </w:rPr>
        <w:t>事故上报的时限和部门(表5—3)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5—3事故上报的时限和部门</w:t>
      </w:r>
    </w:p>
    <w:tbl>
      <w:tblPr>
        <w:tblStyle w:val="4"/>
        <w:tblW w:w="8409" w:type="dxa"/>
        <w:tblInd w:w="15" w:type="dxa"/>
        <w:tblLayout w:type="fixed"/>
        <w:tblCellMar>
          <w:top w:w="0" w:type="dxa"/>
          <w:left w:w="0" w:type="dxa"/>
          <w:bottom w:w="0" w:type="dxa"/>
          <w:right w:w="0" w:type="dxa"/>
        </w:tblCellMar>
      </w:tblPr>
      <w:tblGrid>
        <w:gridCol w:w="1579"/>
        <w:gridCol w:w="6830"/>
      </w:tblGrid>
      <w:tr>
        <w:tblPrEx>
          <w:tblLayout w:type="fixed"/>
          <w:tblCellMar>
            <w:top w:w="0" w:type="dxa"/>
            <w:left w:w="0" w:type="dxa"/>
            <w:bottom w:w="0" w:type="dxa"/>
            <w:right w:w="0" w:type="dxa"/>
          </w:tblCellMar>
        </w:tblPrEx>
        <w:trPr>
          <w:trHeight w:val="302"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18"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事故上报时限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事故发生后，事故现场人员应立即向本单位负责人报告；单位负责人接到报告后，应当于</w:t>
            </w:r>
            <w:r>
              <w:rPr>
                <w:rFonts w:hint="eastAsia" w:ascii="微软雅黑" w:hAnsi="微软雅黑" w:eastAsia="微软雅黑" w:cs="微软雅黑"/>
                <w:color w:val="000000"/>
                <w:kern w:val="0"/>
                <w:sz w:val="18"/>
                <w:szCs w:val="18"/>
              </w:rPr>
              <w:t>1h</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内向事故发生地县级以上人民政府安全生产监督管理部门和负有安全生产监督管理职责的部门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报告。紧急时。事故现场人员可直接向事故发生地县级以上人民政府安全生产监督管理部门和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负有安全生产监督管理职责的有关部门报告</w:t>
            </w:r>
          </w:p>
        </w:tc>
      </w:tr>
      <w:tr>
        <w:tblPrEx>
          <w:tblLayout w:type="fixed"/>
          <w:tblCellMar>
            <w:top w:w="0" w:type="dxa"/>
            <w:left w:w="0" w:type="dxa"/>
            <w:bottom w:w="0" w:type="dxa"/>
            <w:right w:w="0" w:type="dxa"/>
          </w:tblCellMar>
        </w:tblPrEx>
        <w:trPr>
          <w:trHeight w:val="2563"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事故上报部门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当事故报告到安全生产监督管理部门和负有安全生产监督管理职责的部门时，相关部门应依</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照下列规定上报事故情况，并通知公安机关、劳动保障行政部门、工会和人民检察院：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特别重大事故、重大事故：逐级上报至国务院安全生产监督管理部门和负有安全生产监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督管理职责的有关部门。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较大事故：逐级上报至省、自治区、直辖市人民政府安全生产监督管理部门和负有安全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生产监督管理职责的有关部门。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一般事故：上报至设区市级人民政府安全生产监督管理部门和负有安全生产监督管理职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责的有关部门。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当安全生产监督管理部门和负有安全生产监督管理职责的部门逐级上报事故情况时，每级上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报时间不得超过</w:t>
            </w:r>
            <w:r>
              <w:rPr>
                <w:rFonts w:hint="eastAsia" w:ascii="微软雅黑" w:hAnsi="微软雅黑" w:eastAsia="微软雅黑" w:cs="微软雅黑"/>
                <w:color w:val="000000"/>
                <w:kern w:val="0"/>
                <w:sz w:val="18"/>
                <w:szCs w:val="18"/>
              </w:rPr>
              <w:t>2h</w:t>
            </w:r>
          </w:p>
        </w:tc>
      </w:tr>
      <w:tr>
        <w:tblPrEx>
          <w:tblLayout w:type="fixed"/>
          <w:tblCellMar>
            <w:top w:w="0" w:type="dxa"/>
            <w:left w:w="0" w:type="dxa"/>
            <w:bottom w:w="0" w:type="dxa"/>
            <w:right w:w="0" w:type="dxa"/>
          </w:tblCellMar>
        </w:tblPrEx>
        <w:trPr>
          <w:trHeight w:val="792"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事故补报</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事故报告后，有出现新情况的应补报。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自事故发生之日起</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日内，造成伤亡人数发生变化的，应补报。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道路交通事故、火灾事故自发生之日起</w:t>
            </w: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日内，造成伤亡人数发生变化的应补报</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考点四</w:t>
      </w:r>
      <w:r>
        <w:rPr>
          <w:rFonts w:hint="eastAsia" w:ascii="微软雅黑" w:hAnsi="微软雅黑" w:eastAsia="微软雅黑" w:cs="微软雅黑"/>
          <w:color w:val="000000"/>
          <w:sz w:val="18"/>
          <w:szCs w:val="18"/>
        </w:rPr>
        <w:t>事故报告的内容和事故的应急处置(表5—4)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5—4事故报告的内容和事故的应急处置</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7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事故报告的内容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事故发生单位概况。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事故发生的时间、地点以及事故现场情况。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事故的简要经过。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人员伤亡和经济损失情况。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已经采取的措施</w:t>
            </w:r>
          </w:p>
        </w:tc>
      </w:tr>
      <w:tr>
        <w:tblPrEx>
          <w:tblLayout w:type="fixed"/>
          <w:tblCellMar>
            <w:top w:w="0" w:type="dxa"/>
            <w:left w:w="0" w:type="dxa"/>
            <w:bottom w:w="0" w:type="dxa"/>
            <w:right w:w="0" w:type="dxa"/>
          </w:tblCellMar>
        </w:tblPrEx>
        <w:trPr>
          <w:trHeight w:val="159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事故的应急处置</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事故发生单位负责人接到报告后，事故应急预案应立即启动，或采取措施、组织抢救，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以防止事故进一步扩大，并减少人员伤亡和财产损失。事故发生地地方人民政府、安全生产监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督管理部门和负有安全生产监督管理职责的部门接到报告后，其负责人应立即赶赴现场，组织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救援。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在事故发生后，事故单位和人员应保护事故现场及证据，任何单位和个人不得破坏现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场、毁灭证据。</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24"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事故的应急处置</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因抢救人员、防止事故扩大及疏通交通等，事故现场物件需要移动的，应做出标志．绘</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制现场简图并做书面记录</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考点五</w:t>
      </w:r>
      <w:r>
        <w:rPr>
          <w:rFonts w:hint="eastAsia" w:ascii="微软雅黑" w:hAnsi="微软雅黑" w:eastAsia="微软雅黑" w:cs="微软雅黑"/>
          <w:color w:val="000000"/>
          <w:sz w:val="18"/>
          <w:szCs w:val="18"/>
        </w:rPr>
        <w:t>事故调查的组织(表5—5)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5-5事故调查的组织</w:t>
      </w:r>
    </w:p>
    <w:tbl>
      <w:tblPr>
        <w:tblStyle w:val="4"/>
        <w:tblW w:w="8409" w:type="dxa"/>
        <w:tblInd w:w="15" w:type="dxa"/>
        <w:tblLayout w:type="fixed"/>
        <w:tblCellMar>
          <w:top w:w="0" w:type="dxa"/>
          <w:left w:w="0" w:type="dxa"/>
          <w:bottom w:w="0" w:type="dxa"/>
          <w:right w:w="0" w:type="dxa"/>
        </w:tblCellMar>
      </w:tblPr>
      <w:tblGrid>
        <w:gridCol w:w="465"/>
        <w:gridCol w:w="1114"/>
        <w:gridCol w:w="6830"/>
      </w:tblGrid>
      <w:tr>
        <w:tblPrEx>
          <w:tblLayout w:type="fixed"/>
          <w:tblCellMar>
            <w:top w:w="0" w:type="dxa"/>
            <w:left w:w="0" w:type="dxa"/>
            <w:bottom w:w="0" w:type="dxa"/>
            <w:right w:w="0" w:type="dxa"/>
          </w:tblCellMar>
        </w:tblPrEx>
        <w:trPr>
          <w:trHeight w:val="312"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特别重大事故</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由国务院或者国务院授权有关部门组织事故调查组进行调查</w:t>
            </w:r>
          </w:p>
        </w:tc>
      </w:tr>
      <w:tr>
        <w:tblPrEx>
          <w:tblLayout w:type="fixed"/>
          <w:tblCellMar>
            <w:top w:w="0" w:type="dxa"/>
            <w:left w:w="0" w:type="dxa"/>
            <w:bottom w:w="0" w:type="dxa"/>
            <w:right w:w="0" w:type="dxa"/>
          </w:tblCellMar>
        </w:tblPrEx>
        <w:trPr>
          <w:trHeight w:val="796" w:hRule="atLeast"/>
        </w:trPr>
        <w:tc>
          <w:tcPr>
            <w:tcW w:w="46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规定</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较大事故、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一般事故</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分别由事故发生地省级人民政府、设区的市级人民政府、县级人民政府负责调查。省级人民</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政府、设区的市级人民政府、县级人民政府可直接组织事故调查组调查，也可授权或委托有关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部门组织事故调查组调查</w:t>
            </w:r>
          </w:p>
        </w:tc>
      </w:tr>
      <w:tr>
        <w:tblPrEx>
          <w:tblLayout w:type="fixed"/>
          <w:tblCellMar>
            <w:top w:w="0" w:type="dxa"/>
            <w:left w:w="0" w:type="dxa"/>
            <w:bottom w:w="0" w:type="dxa"/>
            <w:right w:w="0" w:type="dxa"/>
          </w:tblCellMar>
        </w:tblPrEx>
        <w:trPr>
          <w:trHeight w:val="643" w:hRule="atLeast"/>
        </w:trPr>
        <w:tc>
          <w:tcPr>
            <w:tcW w:w="46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未造成人员伤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亡的一般事故</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县级人民政府可委托事故发生单位组织事故调查组调查</w:t>
            </w:r>
          </w:p>
        </w:tc>
      </w:tr>
      <w:tr>
        <w:tblPrEx>
          <w:tblLayout w:type="fixed"/>
          <w:tblCellMar>
            <w:top w:w="0" w:type="dxa"/>
            <w:left w:w="0" w:type="dxa"/>
            <w:bottom w:w="0" w:type="dxa"/>
            <w:right w:w="0" w:type="dxa"/>
          </w:tblCellMar>
        </w:tblPrEx>
        <w:trPr>
          <w:trHeight w:val="1281"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上级人民政府可调查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由下级人民政府负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责调查的事故情形</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事故性质恶劣、社会影响较大的情形。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同一地区连续频繁发生同类事故的情形。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事故发生地不重视安全生产工作、不能真正吸取事故教训的情形。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社会和群众对下级政府调查的事故反响强烈的情形。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事故调查难以做到客观、公正的情形</w:t>
            </w:r>
          </w:p>
        </w:tc>
      </w:tr>
      <w:tr>
        <w:tblPrEx>
          <w:tblLayout w:type="fixed"/>
          <w:tblCellMar>
            <w:top w:w="0" w:type="dxa"/>
            <w:left w:w="0" w:type="dxa"/>
            <w:bottom w:w="0" w:type="dxa"/>
            <w:right w:w="0" w:type="dxa"/>
          </w:tblCellMar>
        </w:tblPrEx>
        <w:trPr>
          <w:trHeight w:val="638"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事故调查工作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实行原则</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实行“政府领导、分级负责”的原则</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801"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事故等级发生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变化的调查</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自事故发生之日起</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日内</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道路交通事故、火灾事故自发生之日起</w:t>
            </w: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日内</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，因伤亡人数变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化导致事故等级变化的，由上级人民政府负责调查的．上级人民政府可另行组织事故调查组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调查</w:t>
            </w:r>
          </w:p>
        </w:tc>
      </w:tr>
      <w:tr>
        <w:tblPrEx>
          <w:tblLayout w:type="fixed"/>
          <w:tblCellMar>
            <w:top w:w="0" w:type="dxa"/>
            <w:left w:w="0" w:type="dxa"/>
            <w:bottom w:w="0" w:type="dxa"/>
            <w:right w:w="0" w:type="dxa"/>
          </w:tblCellMar>
        </w:tblPrEx>
        <w:trPr>
          <w:trHeight w:val="1435" w:hRule="atLeast"/>
        </w:trPr>
        <w:tc>
          <w:tcPr>
            <w:tcW w:w="1579"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特别重大事故以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下等级事故，事故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发生地、发生单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位不在同一个县级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以上行政区域的情形</w:t>
            </w: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由事故发生地人民政府负责调查，事故发生单位所在地人民政府应当派人参加</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考点六</w:t>
      </w:r>
      <w:r>
        <w:rPr>
          <w:rFonts w:hint="eastAsia" w:ascii="微软雅黑" w:hAnsi="微软雅黑" w:eastAsia="微软雅黑" w:cs="微软雅黑"/>
          <w:color w:val="000000"/>
          <w:sz w:val="18"/>
          <w:szCs w:val="18"/>
        </w:rPr>
        <w:t>事故调查组的组成和职责(表5—6)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5—6事故调查组的组成和职责</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1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1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事故调查组的组成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组成遵循精简、效能原则。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根据具体情况，调查组由有关人民政府、安全生产监督管理部门、负有安全生产监督管理职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责的有关部门、监察机关、公安机关及工会派人组成，并应邀请人民检察院派人参加。事故凋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查组可聘请有关专家参与调查</w:t>
            </w:r>
          </w:p>
        </w:tc>
      </w:tr>
      <w:tr>
        <w:tblPrEx>
          <w:tblLayout w:type="fixed"/>
          <w:tblCellMar>
            <w:top w:w="0" w:type="dxa"/>
            <w:left w:w="0" w:type="dxa"/>
            <w:bottom w:w="0" w:type="dxa"/>
            <w:right w:w="0" w:type="dxa"/>
          </w:tblCellMar>
        </w:tblPrEx>
        <w:trPr>
          <w:trHeight w:val="1291"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事故调查组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履行的职责</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查明事故发生的经过。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查明事故发生的原因。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人员伤亡情况。</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事故的直接经济损失。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人员伤亡后所支出的费用，包括医疗费用、丧葬及抚恤费用、补助及救济费用、歇工工资等。</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851"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事故调查组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履行的职责</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事故善后处理费用，包括处理事故的事务性费用、现场抢救费用、现场清理费用、事故罚款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和赔偿费用等。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事故造成的财产损失费用，包括固定资产损失价值、流动资产损失价值等。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(S)</w:t>
            </w:r>
            <w:r>
              <w:rPr>
                <w:rFonts w:hint="eastAsia" w:ascii="微软雅黑" w:hAnsi="微软雅黑" w:eastAsia="微软雅黑" w:cs="微软雅黑"/>
                <w:color w:val="000000"/>
                <w:kern w:val="0"/>
                <w:sz w:val="18"/>
                <w:szCs w:val="18"/>
              </w:rPr>
              <w:t>认定事故性质和事故责任分析。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对事故责任者的处理建议。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总结事故教训。</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提出防范和整改措施。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提交事故调查报告。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报告应附具有关证据材料，调查组成员应在事故调查报告上签名。调查报告的内容应包括：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事故发生单位概况、事故发生经过和事故救援情况、事故造成的人员伤亡和直接经济损失、事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故发生的原因和事故性质、事故责任的认定及对事故责任者的处理建议、事故防范和整改措施</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考点七</w:t>
      </w:r>
      <w:r>
        <w:rPr>
          <w:rFonts w:hint="eastAsia" w:ascii="微软雅黑" w:hAnsi="微软雅黑" w:eastAsia="微软雅黑" w:cs="微软雅黑"/>
          <w:color w:val="000000"/>
          <w:sz w:val="18"/>
          <w:szCs w:val="18"/>
        </w:rPr>
        <w:t>事故调查组的职权和事故发生单位的义务(表5—7)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5—7事故调查组的职权和事故发生单位的义务</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2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事故调查组的职权</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调查组有权向有关单位和个人了解与事故有关的情况，并要求其提供相关文件、资料，有关</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单位和个人不得拒绝。</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事故调查中要作技术鉴定的，调查组应委托具有国家规定资质的单位作技术鉴定。必要时，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调查组可直接组织专家做技术鉴定</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事故发生单位的义务</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事故发生单位的负责人和有关人员在调查期间不得擅离职守，应当随时接受事故调查组的询</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问，如实提供情况</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考点八</w:t>
      </w:r>
      <w:r>
        <w:rPr>
          <w:rFonts w:hint="eastAsia" w:ascii="微软雅黑" w:hAnsi="微软雅黑" w:eastAsia="微软雅黑" w:cs="微软雅黑"/>
          <w:color w:val="000000"/>
          <w:sz w:val="18"/>
          <w:szCs w:val="18"/>
        </w:rPr>
        <w:t>事故调查的纪律和期限(表5—8)</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5—8事故调查的纪律和期限</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事故调查的纪律</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调查组成员在凋查工作中应诚信公正、恪尽职守，遵守调查组的纪律，保守调查秘密。未经</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调查组组长允许，调查组成员不得擅自发布有关事故信息</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事故调查的期限</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调查组应自事故发生之日起</w:t>
            </w:r>
            <w:r>
              <w:rPr>
                <w:rFonts w:hint="eastAsia" w:ascii="微软雅黑" w:hAnsi="微软雅黑" w:eastAsia="微软雅黑" w:cs="微软雅黑"/>
                <w:color w:val="000000"/>
                <w:kern w:val="0"/>
                <w:sz w:val="18"/>
                <w:szCs w:val="18"/>
              </w:rPr>
              <w:t>60</w:t>
            </w:r>
            <w:r>
              <w:rPr>
                <w:rFonts w:hint="eastAsia" w:ascii="微软雅黑" w:hAnsi="微软雅黑" w:eastAsia="微软雅黑" w:cs="微软雅黑"/>
                <w:color w:val="000000"/>
                <w:kern w:val="0"/>
                <w:sz w:val="18"/>
                <w:szCs w:val="18"/>
              </w:rPr>
              <w:t>日内提交调查报告；特殊情况下，经负责事故调查的人民政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府批准，提交调查报告的期限可适当延长，但延长期限最长不超过</w:t>
            </w:r>
            <w:r>
              <w:rPr>
                <w:rFonts w:hint="eastAsia" w:ascii="微软雅黑" w:hAnsi="微软雅黑" w:eastAsia="微软雅黑" w:cs="微软雅黑"/>
                <w:color w:val="000000"/>
                <w:kern w:val="0"/>
                <w:sz w:val="18"/>
                <w:szCs w:val="18"/>
              </w:rPr>
              <w:t>60</w:t>
            </w:r>
            <w:r>
              <w:rPr>
                <w:rFonts w:hint="eastAsia" w:ascii="微软雅黑" w:hAnsi="微软雅黑" w:eastAsia="微软雅黑" w:cs="微软雅黑"/>
                <w:color w:val="000000"/>
                <w:kern w:val="0"/>
                <w:sz w:val="18"/>
                <w:szCs w:val="18"/>
              </w:rPr>
              <w:t>日。需要进行技术鉴定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的，技术鉴定所需时间不计人该时限，其提交调查报告时限可顺延</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考点九</w:t>
      </w:r>
      <w:r>
        <w:rPr>
          <w:rFonts w:hint="eastAsia" w:ascii="微软雅黑" w:hAnsi="微软雅黑" w:eastAsia="微软雅黑" w:cs="微软雅黑"/>
          <w:color w:val="000000"/>
          <w:sz w:val="18"/>
          <w:szCs w:val="18"/>
        </w:rPr>
        <w:t>事故调查报告的批复(表5—9)</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5—9事故调查报告的批复</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430"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事故调查报告</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批复的主体</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主体是负责事故调查的人民政府。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特别重大事故的调查报告：由国务院批复。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重大事故调查报告：由负责事故调查的有关省级人民政府批复。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较大事故调查报告：由负责事故调查的设区的市级人民政府批复。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一般事故的事故调查报告：由负责事故调查的县级人民政府批复</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25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批复时限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重大事故、较大事故、一般事故批复时限：负责事故调查人民政府应当自收到调查报告</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之日起</w:t>
            </w:r>
            <w:r>
              <w:rPr>
                <w:rFonts w:hint="eastAsia" w:ascii="微软雅黑" w:hAnsi="微软雅黑" w:eastAsia="微软雅黑" w:cs="微软雅黑"/>
                <w:color w:val="000000"/>
                <w:kern w:val="0"/>
                <w:sz w:val="18"/>
                <w:szCs w:val="18"/>
              </w:rPr>
              <w:t>15</w:t>
            </w:r>
            <w:r>
              <w:rPr>
                <w:rFonts w:hint="eastAsia" w:ascii="微软雅黑" w:hAnsi="微软雅黑" w:eastAsia="微软雅黑" w:cs="微软雅黑"/>
                <w:color w:val="000000"/>
                <w:kern w:val="0"/>
                <w:sz w:val="18"/>
                <w:szCs w:val="18"/>
              </w:rPr>
              <w:t>日内做出批复。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特别重大事故批复时限：</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日内做出批复，特殊情况下，批复时间可延长，但延长时间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最长不超过</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日</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w:t>
      </w:r>
      <w:r>
        <w:rPr>
          <w:rFonts w:hint="eastAsia" w:ascii="微软雅黑" w:hAnsi="微软雅黑" w:eastAsia="微软雅黑" w:cs="微软雅黑"/>
          <w:color w:val="000000"/>
          <w:sz w:val="18"/>
          <w:szCs w:val="18"/>
        </w:rPr>
        <w:t>事故调查报告中防范和整改措施的落实及其监督(表5—10)</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5一10事故调查报告中防范和整改措施的落实及其监督</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1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2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事故调查处理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的最终目的</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预防和减少事故</w:t>
            </w:r>
          </w:p>
        </w:tc>
      </w:tr>
      <w:tr>
        <w:tblPrEx>
          <w:tblLayout w:type="fixed"/>
          <w:tblCellMar>
            <w:top w:w="0" w:type="dxa"/>
            <w:left w:w="0" w:type="dxa"/>
            <w:bottom w:w="0" w:type="dxa"/>
            <w:right w:w="0" w:type="dxa"/>
          </w:tblCellMar>
        </w:tblPrEx>
        <w:trPr>
          <w:trHeight w:val="715"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事故调查报告中防范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和整改措施的落实</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事故发生单位应认真吸取教训，落实防范和整改措施，防止事故再次发生</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955"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事故调查报告中防</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范和整改措施的监督</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防范和整改措施落实情况应接受工会和职工的监督。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安全生产监督管理部门和负有安全生产监督管理职责的有关部门，应对事故发生单位负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责落实防范和整改措施的情况进行监督检查</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考点十一</w:t>
      </w:r>
      <w:r>
        <w:rPr>
          <w:rFonts w:hint="eastAsia" w:ascii="微软雅黑" w:hAnsi="微软雅黑" w:eastAsia="微软雅黑" w:cs="微软雅黑"/>
          <w:color w:val="000000"/>
          <w:sz w:val="18"/>
          <w:szCs w:val="18"/>
        </w:rPr>
        <w:t>统计工作的基本步骤(表5—11)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5—11统计工作的基本步骤</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设计</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对整个统计过程进行安排</w:t>
            </w:r>
          </w:p>
        </w:tc>
      </w:tr>
      <w:tr>
        <w:tblPrEx>
          <w:tblLayout w:type="fixed"/>
          <w:tblCellMar>
            <w:top w:w="0" w:type="dxa"/>
            <w:left w:w="0" w:type="dxa"/>
            <w:bottom w:w="0" w:type="dxa"/>
            <w:right w:w="0" w:type="dxa"/>
          </w:tblCellMar>
        </w:tblPrEx>
        <w:trPr>
          <w:trHeight w:val="32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收集资料</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现场调查</w:t>
            </w:r>
            <w:r>
              <w:rPr>
                <w:rFonts w:hint="eastAsia" w:ascii="微软雅黑" w:hAnsi="微软雅黑" w:eastAsia="微软雅黑" w:cs="微软雅黑"/>
                <w:color w:val="000000"/>
                <w:kern w:val="0"/>
                <w:sz w:val="18"/>
                <w:szCs w:val="18"/>
              </w:rPr>
              <w:t>)</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方法：统计报表、日常性工作、专题调查</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整理资料</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原始资料的整理、清理、核实、查对，使其条理化、系统化，便于计算和分析</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统计分析</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运用统计学的基本原理和方法，分析计算有关的指标和数据，揭示事物内部的规律</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考点十二</w:t>
      </w:r>
      <w:r>
        <w:rPr>
          <w:rFonts w:hint="eastAsia" w:ascii="微软雅黑" w:hAnsi="微软雅黑" w:eastAsia="微软雅黑" w:cs="微软雅黑"/>
          <w:color w:val="000000"/>
          <w:sz w:val="18"/>
          <w:szCs w:val="18"/>
        </w:rPr>
        <w:t>统计学基本知识(表5—12)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5—12统计学基本知识</w:t>
      </w:r>
    </w:p>
    <w:tbl>
      <w:tblPr>
        <w:tblStyle w:val="4"/>
        <w:tblW w:w="8409" w:type="dxa"/>
        <w:tblInd w:w="15" w:type="dxa"/>
        <w:tblLayout w:type="fixed"/>
        <w:tblCellMar>
          <w:top w:w="0" w:type="dxa"/>
          <w:left w:w="0" w:type="dxa"/>
          <w:bottom w:w="0" w:type="dxa"/>
          <w:right w:w="0" w:type="dxa"/>
        </w:tblCellMar>
      </w:tblPr>
      <w:tblGrid>
        <w:gridCol w:w="465"/>
        <w:gridCol w:w="1123"/>
        <w:gridCol w:w="682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统计资料类型</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包括计量资料、计数资料和等级资料</w:t>
            </w:r>
          </w:p>
        </w:tc>
      </w:tr>
      <w:tr>
        <w:tblPrEx>
          <w:tblLayout w:type="fixed"/>
          <w:tblCellMar>
            <w:top w:w="0" w:type="dxa"/>
            <w:left w:w="0" w:type="dxa"/>
            <w:bottom w:w="0" w:type="dxa"/>
            <w:right w:w="0" w:type="dxa"/>
          </w:tblCellMar>
        </w:tblPrEx>
        <w:trPr>
          <w:trHeight w:val="326"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变量</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研究者对每个观察单位某项特征作观察和测量</w:t>
            </w:r>
          </w:p>
        </w:tc>
      </w:tr>
      <w:tr>
        <w:tblPrEx>
          <w:tblLayout w:type="fixed"/>
          <w:tblCellMar>
            <w:top w:w="0" w:type="dxa"/>
            <w:left w:w="0" w:type="dxa"/>
            <w:bottom w:w="0" w:type="dxa"/>
            <w:right w:w="0" w:type="dxa"/>
          </w:tblCellMar>
        </w:tblPrEx>
        <w:trPr>
          <w:trHeight w:val="321"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统计</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变异</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同质事物个体间的差异</w:t>
            </w:r>
          </w:p>
        </w:tc>
      </w:tr>
      <w:tr>
        <w:tblPrEx>
          <w:tblLayout w:type="fixed"/>
          <w:tblCellMar>
            <w:top w:w="0" w:type="dxa"/>
            <w:left w:w="0" w:type="dxa"/>
            <w:bottom w:w="0" w:type="dxa"/>
            <w:right w:w="0" w:type="dxa"/>
          </w:tblCellMar>
        </w:tblPrEx>
        <w:trPr>
          <w:trHeight w:val="321"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学相</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总体</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根据研究目的确定的研究对象的全体</w:t>
            </w:r>
          </w:p>
        </w:tc>
      </w:tr>
      <w:tr>
        <w:tblPrEx>
          <w:tblLayout w:type="fixed"/>
          <w:tblCellMar>
            <w:top w:w="0" w:type="dxa"/>
            <w:left w:w="0" w:type="dxa"/>
            <w:bottom w:w="0" w:type="dxa"/>
            <w:right w:w="0" w:type="dxa"/>
          </w:tblCellMar>
        </w:tblPrEx>
        <w:trPr>
          <w:trHeight w:val="321"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关概</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样本</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总体中有代表性的一部分</w:t>
            </w:r>
          </w:p>
        </w:tc>
      </w:tr>
      <w:tr>
        <w:tblPrEx>
          <w:tblLayout w:type="fixed"/>
          <w:tblCellMar>
            <w:top w:w="0" w:type="dxa"/>
            <w:left w:w="0" w:type="dxa"/>
            <w:bottom w:w="0" w:type="dxa"/>
            <w:right w:w="0" w:type="dxa"/>
          </w:tblCellMar>
        </w:tblPrEx>
        <w:trPr>
          <w:trHeight w:val="321" w:hRule="atLeast"/>
        </w:trPr>
        <w:tc>
          <w:tcPr>
            <w:tcW w:w="46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念</w:t>
            </w: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随机抽样</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统计工作中常用的抽样方法</w:t>
            </w:r>
          </w:p>
        </w:tc>
      </w:tr>
      <w:tr>
        <w:tblPrEx>
          <w:tblLayout w:type="fixed"/>
          <w:tblCellMar>
            <w:top w:w="0" w:type="dxa"/>
            <w:left w:w="0" w:type="dxa"/>
            <w:bottom w:w="0" w:type="dxa"/>
            <w:right w:w="0" w:type="dxa"/>
          </w:tblCellMar>
        </w:tblPrEx>
        <w:trPr>
          <w:trHeight w:val="302" w:hRule="atLeast"/>
        </w:trPr>
        <w:tc>
          <w:tcPr>
            <w:tcW w:w="465"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概率</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描述随机事件发生的可能性大小的数值。一个事件的发生小于</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％为小概率事件</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考点十三</w:t>
      </w:r>
      <w:r>
        <w:rPr>
          <w:rFonts w:hint="eastAsia" w:ascii="微软雅黑" w:hAnsi="微软雅黑" w:eastAsia="微软雅黑" w:cs="微软雅黑"/>
          <w:color w:val="000000"/>
          <w:sz w:val="18"/>
          <w:szCs w:val="18"/>
        </w:rPr>
        <w:t>统计图表的编制(表5—13)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5—13统计图表的编制</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0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统计表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将要统计分析事物、指标以表格形式列出来，以代替烦琐文字描述的表现形式。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组成：包括标题、标目。</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种类：简单表、复合表。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制表原则：重点突出，简单明了，主谓分明，层次清楚</w:t>
            </w:r>
          </w:p>
        </w:tc>
      </w:tr>
      <w:tr>
        <w:tblPrEx>
          <w:tblLayout w:type="fixed"/>
          <w:tblCellMar>
            <w:top w:w="0" w:type="dxa"/>
            <w:left w:w="0" w:type="dxa"/>
            <w:bottom w:w="0" w:type="dxa"/>
            <w:right w:w="0" w:type="dxa"/>
          </w:tblCellMar>
        </w:tblPrEx>
        <w:trPr>
          <w:trHeight w:val="624"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统计图</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类型：条图、圆图或百分条图、线图、半对数线图、散点图、直方图、统计地图。</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用点、线、面的位置、升降或大小来表达统计资料数量关系的陈列形式</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考点十四</w:t>
      </w:r>
      <w:r>
        <w:rPr>
          <w:rFonts w:hint="eastAsia" w:ascii="微软雅黑" w:hAnsi="微软雅黑" w:eastAsia="微软雅黑" w:cs="微软雅黑"/>
          <w:color w:val="000000"/>
          <w:sz w:val="18"/>
          <w:szCs w:val="18"/>
        </w:rPr>
        <w:t>统计描述与统计推断(表5—14)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5—14统计描述与统计推断</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44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统计描述</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计量资料的统计描述：通过编制频数分布表、计算集中趋势指标和离散趋势指标以及统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计图表来进行。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集中趋势：描述指标有算术平均数、几何平均数、百分位数与中位数。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离散趋势：描述指标有全距、四分位数间距、方差、标准差。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计数资料的统计描述：采用比、构成比、率三类指标来描述</w:t>
            </w:r>
          </w:p>
        </w:tc>
      </w:tr>
      <w:tr>
        <w:tblPrEx>
          <w:tblLayout w:type="fixed"/>
          <w:tblCellMar>
            <w:top w:w="0" w:type="dxa"/>
            <w:left w:w="0" w:type="dxa"/>
            <w:bottom w:w="0" w:type="dxa"/>
            <w:right w:w="0" w:type="dxa"/>
          </w:tblCellMar>
        </w:tblPrEx>
        <w:trPr>
          <w:trHeight w:val="955"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统计推断</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参数估计：通过样本估计总体特征，包括点值估计和区间估计两种方法。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假设检验：用来判断样本与样本，样本与总体差异是由抽样误差引起还是本质差别造成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的统计推断方法</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考点十五</w:t>
      </w:r>
      <w:r>
        <w:rPr>
          <w:rFonts w:hint="eastAsia" w:ascii="微软雅黑" w:hAnsi="微软雅黑" w:eastAsia="微软雅黑" w:cs="微软雅黑"/>
          <w:color w:val="000000"/>
          <w:sz w:val="18"/>
          <w:szCs w:val="18"/>
        </w:rPr>
        <w:t>职业卫生常用统计指标(表5—15)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5—15职业卫生常用统计指标</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统计指标</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计算公式</w:t>
            </w:r>
          </w:p>
        </w:tc>
      </w:tr>
      <w:tr>
        <w:tblPrEx>
          <w:tblLayout w:type="fixed"/>
          <w:tblCellMar>
            <w:top w:w="0" w:type="dxa"/>
            <w:left w:w="0" w:type="dxa"/>
            <w:bottom w:w="0" w:type="dxa"/>
            <w:right w:w="0" w:type="dxa"/>
          </w:tblCellMar>
        </w:tblPrEx>
        <w:trPr>
          <w:trHeight w:val="63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发病</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中毒</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率</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某病发病率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中毒率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同期内新发生例数／观察期内可能发生某病</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中毒</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的平均人口数</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w:t>
            </w:r>
          </w:p>
        </w:tc>
      </w:tr>
      <w:tr>
        <w:tblPrEx>
          <w:tblLayout w:type="fixed"/>
          <w:tblCellMar>
            <w:top w:w="0" w:type="dxa"/>
            <w:left w:w="0" w:type="dxa"/>
            <w:bottom w:w="0" w:type="dxa"/>
            <w:right w:w="0" w:type="dxa"/>
          </w:tblCellMar>
        </w:tblPrEx>
        <w:trPr>
          <w:trHeight w:val="32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患病率</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某病患病率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检查时发现的现患某病病例总数／该时点受检人口数×</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w:t>
            </w:r>
          </w:p>
        </w:tc>
      </w:tr>
      <w:tr>
        <w:tblPrEx>
          <w:tblLayout w:type="fixed"/>
          <w:tblCellMar>
            <w:top w:w="0" w:type="dxa"/>
            <w:left w:w="0" w:type="dxa"/>
            <w:bottom w:w="0" w:type="dxa"/>
            <w:right w:w="0" w:type="dxa"/>
          </w:tblCellMar>
        </w:tblPrEx>
        <w:trPr>
          <w:trHeight w:val="32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病死率</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某病病死率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同期因该病病死亡人数／观察期内某病患者数×</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w:t>
            </w:r>
          </w:p>
        </w:tc>
      </w:tr>
      <w:tr>
        <w:tblPrEx>
          <w:tblLayout w:type="fixed"/>
          <w:tblCellMar>
            <w:top w:w="0" w:type="dxa"/>
            <w:left w:w="0" w:type="dxa"/>
            <w:bottom w:w="0" w:type="dxa"/>
            <w:right w:w="0" w:type="dxa"/>
          </w:tblCellMar>
        </w:tblPrEx>
        <w:trPr>
          <w:trHeight w:val="31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粗死亡率</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粗死亡率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同年死亡总数／某年平均人口数×</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考点十六职业卫生调查设计</w:t>
      </w:r>
      <w:r>
        <w:rPr>
          <w:rFonts w:hint="eastAsia" w:ascii="微软雅黑" w:hAnsi="微软雅黑" w:eastAsia="微软雅黑" w:cs="微软雅黑"/>
          <w:color w:val="000000"/>
          <w:sz w:val="18"/>
          <w:szCs w:val="18"/>
        </w:rPr>
        <w:t>(表5—16)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5—16职业卫生调查设计</w:t>
      </w:r>
    </w:p>
    <w:tbl>
      <w:tblPr>
        <w:tblStyle w:val="4"/>
        <w:tblW w:w="8409" w:type="dxa"/>
        <w:tblInd w:w="15" w:type="dxa"/>
        <w:tblLayout w:type="fixed"/>
        <w:tblCellMar>
          <w:top w:w="0" w:type="dxa"/>
          <w:left w:w="0" w:type="dxa"/>
          <w:bottom w:w="0" w:type="dxa"/>
          <w:right w:w="0" w:type="dxa"/>
        </w:tblCellMar>
      </w:tblPr>
      <w:tblGrid>
        <w:gridCol w:w="475"/>
        <w:gridCol w:w="1113"/>
        <w:gridCol w:w="682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调查设计的主要用途</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用于了解某一特定时间横断面上特定作业场所中职业危害因素或人群职业病的分布情况</w:t>
            </w:r>
          </w:p>
        </w:tc>
      </w:tr>
      <w:tr>
        <w:tblPrEx>
          <w:tblLayout w:type="fixed"/>
          <w:tblCellMar>
            <w:top w:w="0" w:type="dxa"/>
            <w:left w:w="0" w:type="dxa"/>
            <w:bottom w:w="0" w:type="dxa"/>
            <w:right w:w="0" w:type="dxa"/>
          </w:tblCellMar>
        </w:tblPrEx>
        <w:trPr>
          <w:trHeight w:val="960" w:hRule="atLeast"/>
        </w:trPr>
        <w:tc>
          <w:tcPr>
            <w:tcW w:w="475"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选择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调查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方法</w:t>
            </w:r>
          </w:p>
        </w:tc>
        <w:tc>
          <w:tcPr>
            <w:tcW w:w="111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普查</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用于了解总体在某一特定“时点”上的情况，包括年中人口数、时点患病率。医学领域适用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范围：发病率较高疾病；具有灵敏度、特异度较高检查或诊断方法；普查方法便于操作、易于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接受；具有实施条件</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09" w:type="dxa"/>
        <w:tblInd w:w="15" w:type="dxa"/>
        <w:tblLayout w:type="fixed"/>
        <w:tblCellMar>
          <w:top w:w="0" w:type="dxa"/>
          <w:left w:w="0" w:type="dxa"/>
          <w:bottom w:w="0" w:type="dxa"/>
          <w:right w:w="0" w:type="dxa"/>
        </w:tblCellMar>
      </w:tblPr>
      <w:tblGrid>
        <w:gridCol w:w="465"/>
        <w:gridCol w:w="1114"/>
        <w:gridCol w:w="6830"/>
      </w:tblGrid>
      <w:tr>
        <w:tblPrEx>
          <w:tblLayout w:type="fixed"/>
          <w:tblCellMar>
            <w:top w:w="0" w:type="dxa"/>
            <w:left w:w="0" w:type="dxa"/>
            <w:bottom w:w="0" w:type="dxa"/>
            <w:right w:w="0" w:type="dxa"/>
          </w:tblCellMar>
        </w:tblPrEx>
        <w:trPr>
          <w:trHeight w:val="307" w:hRule="atLeast"/>
        </w:trPr>
        <w:tc>
          <w:tcPr>
            <w:tcW w:w="465"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12"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33"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选择</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调查</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抽样调查</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医学研究中最常用方法，通过随机抽样方法从总体中随机抽取一定数量具代表性观察单位组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成样本进行调查．再根据样本信息来推断总体特征</w:t>
            </w:r>
          </w:p>
        </w:tc>
      </w:tr>
      <w:tr>
        <w:tblPrEx>
          <w:tblLayout w:type="fixed"/>
          <w:tblCellMar>
            <w:top w:w="0" w:type="dxa"/>
            <w:left w:w="0" w:type="dxa"/>
            <w:bottom w:w="0" w:type="dxa"/>
            <w:right w:w="0" w:type="dxa"/>
          </w:tblCellMar>
        </w:tblPrEx>
        <w:trPr>
          <w:trHeight w:val="307" w:hRule="atLeast"/>
        </w:trPr>
        <w:tc>
          <w:tcPr>
            <w:tcW w:w="46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方法</w:t>
            </w: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典型调查</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又称案例调查，对事物进行全面了解基础上，有目的选择典型的人和单位进行调查</w:t>
            </w:r>
          </w:p>
        </w:tc>
      </w:tr>
      <w:tr>
        <w:tblPrEx>
          <w:tblLayout w:type="fixed"/>
          <w:tblCellMar>
            <w:top w:w="0" w:type="dxa"/>
            <w:left w:w="0" w:type="dxa"/>
            <w:bottom w:w="0" w:type="dxa"/>
            <w:right w:w="0" w:type="dxa"/>
          </w:tblCellMar>
        </w:tblPrEx>
        <w:trPr>
          <w:trHeight w:val="633" w:hRule="atLeast"/>
        </w:trPr>
        <w:tc>
          <w:tcPr>
            <w:tcW w:w="1579"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常用的抽样方法</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包括：单纯随机抽样、系统抽样、整群抽样、分层抽样</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抽样误差一般是：整群抽样≥单纯随机抽样≥系统抽样≥分层抽样</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考点十七</w:t>
      </w:r>
      <w:r>
        <w:rPr>
          <w:rFonts w:hint="eastAsia" w:ascii="微软雅黑" w:hAnsi="微软雅黑" w:eastAsia="微软雅黑" w:cs="微软雅黑"/>
          <w:color w:val="000000"/>
          <w:sz w:val="18"/>
          <w:szCs w:val="18"/>
        </w:rPr>
        <w:t>事故统计的基本任务和目的(表5—17)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5—17事故统计的基本任务和目的</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23"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基本任务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对每起事故作统计调查，弄清事故发生情况和原因。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对一定时间内、一定范围内事故发生的情况进行测定。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根据统计资料，借助数理统计手段。对一定时间内、一定范围内事故发生的情况、趋势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及事故参数的分布进行分析、归纳和推断</w:t>
            </w:r>
          </w:p>
        </w:tc>
      </w:tr>
      <w:tr>
        <w:tblPrEx>
          <w:tblLayout w:type="fixed"/>
          <w:tblCellMar>
            <w:top w:w="0" w:type="dxa"/>
            <w:left w:w="0" w:type="dxa"/>
            <w:bottom w:w="0" w:type="dxa"/>
            <w:right w:w="0" w:type="dxa"/>
          </w:tblCellMar>
        </w:tblPrEx>
        <w:trPr>
          <w:trHeight w:val="79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目的</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通过收集与事故资料、数据，应用统计方法，对重复显现的数字特征进行整理、加工、分析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和推断，找出事故发生规律和事故发生的原因，为制定法规、加强工作决策，采取预防措施，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防止事故重复发生，起到指导作用</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考点十八</w:t>
      </w:r>
      <w:r>
        <w:rPr>
          <w:rFonts w:hint="eastAsia" w:ascii="微软雅黑" w:hAnsi="微软雅黑" w:eastAsia="微软雅黑" w:cs="微软雅黑"/>
          <w:color w:val="000000"/>
          <w:sz w:val="18"/>
          <w:szCs w:val="18"/>
        </w:rPr>
        <w:t>事故统计指标体系(表5—18)</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5一18事故统计指标体系</w:t>
      </w:r>
    </w:p>
    <w:tbl>
      <w:tblPr>
        <w:tblStyle w:val="4"/>
        <w:tblW w:w="8409" w:type="dxa"/>
        <w:tblInd w:w="15" w:type="dxa"/>
        <w:tblLayout w:type="fixed"/>
        <w:tblCellMar>
          <w:top w:w="0" w:type="dxa"/>
          <w:left w:w="0" w:type="dxa"/>
          <w:bottom w:w="0" w:type="dxa"/>
          <w:right w:w="0" w:type="dxa"/>
        </w:tblCellMar>
      </w:tblPr>
      <w:tblGrid>
        <w:gridCol w:w="465"/>
        <w:gridCol w:w="1114"/>
        <w:gridCol w:w="6830"/>
      </w:tblGrid>
      <w:tr>
        <w:tblPrEx>
          <w:tblLayout w:type="fixed"/>
          <w:tblCellMar>
            <w:top w:w="0" w:type="dxa"/>
            <w:left w:w="0" w:type="dxa"/>
            <w:bottom w:w="0" w:type="dxa"/>
            <w:right w:w="0" w:type="dxa"/>
          </w:tblCellMar>
        </w:tblPrEx>
        <w:trPr>
          <w:trHeight w:val="302"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统计指标体系</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绝对指标</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包括事故起数、死亡人数、重伤人数、轻伤人数、直接经济损失、损失工作日等</w:t>
            </w:r>
          </w:p>
        </w:tc>
      </w:tr>
      <w:tr>
        <w:tblPrEx>
          <w:tblLayout w:type="fixed"/>
          <w:tblCellMar>
            <w:top w:w="0" w:type="dxa"/>
            <w:left w:w="0" w:type="dxa"/>
            <w:bottom w:w="0" w:type="dxa"/>
            <w:right w:w="0" w:type="dxa"/>
          </w:tblCellMar>
        </w:tblPrEx>
        <w:trPr>
          <w:trHeight w:val="316"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相对指标</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包括千人死亡率、千人重伤率、百万吨死亡率等</w:t>
            </w:r>
          </w:p>
        </w:tc>
      </w:tr>
      <w:tr>
        <w:tblPrEx>
          <w:tblLayout w:type="fixed"/>
          <w:tblCellMar>
            <w:top w:w="0" w:type="dxa"/>
            <w:left w:w="0" w:type="dxa"/>
            <w:bottom w:w="0" w:type="dxa"/>
            <w:right w:w="0" w:type="dxa"/>
          </w:tblCellMar>
        </w:tblPrEx>
        <w:trPr>
          <w:trHeight w:val="638"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综合类伤亡事故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统计指标体系</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包括事故起数、死亡事故起数、死亡人数、受伤人数、直接经济损失、重大事故起数、重大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事故死亡人数、特别重大事故起数、特别重大事故死亡人数、重大事故率</w:t>
            </w:r>
          </w:p>
        </w:tc>
      </w:tr>
      <w:tr>
        <w:tblPrEx>
          <w:tblLayout w:type="fixed"/>
          <w:tblCellMar>
            <w:top w:w="0" w:type="dxa"/>
            <w:left w:w="0" w:type="dxa"/>
            <w:bottom w:w="0" w:type="dxa"/>
            <w:right w:w="0" w:type="dxa"/>
          </w:tblCellMar>
        </w:tblPrEx>
        <w:trPr>
          <w:trHeight w:val="1761" w:hRule="atLeast"/>
        </w:trPr>
        <w:tc>
          <w:tcPr>
            <w:tcW w:w="1579"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工矿企业类伤亡</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事故统计指标体系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包括煤矿企业伤亡事故统计指标、金属和非金属矿企业</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原非煤矿山企业</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伤亡事故统计指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标、工商企业</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原非矿山企业</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伤亡事故统计指标、建筑业伤亡事故统计指标、危险化学品伤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亡事故统计指标、烟花爆竹伤亡事故统计指标。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上述类别统计指标均包含伤亡事故起数、死亡事故起数、死亡人数、重伤人数、轻伤人数、</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直接经济损失、损失工作日、重大事故起数、重大事故死亡人数、特别重大事故起数、特别重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大事故死亡人数、千人死亡率、千人重伤率、百万工时死亡率、重大事故率。除此之外，煤矿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企业伤亡事故统计指标还包含百万吨死亡率</w:t>
            </w:r>
          </w:p>
        </w:tc>
      </w:tr>
      <w:tr>
        <w:tblPrEx>
          <w:tblLayout w:type="fixed"/>
          <w:tblCellMar>
            <w:top w:w="0" w:type="dxa"/>
            <w:left w:w="0" w:type="dxa"/>
            <w:bottom w:w="0" w:type="dxa"/>
            <w:right w:w="0" w:type="dxa"/>
          </w:tblCellMar>
        </w:tblPrEx>
        <w:trPr>
          <w:trHeight w:val="801"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行业</w:t>
            </w: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道路交通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事故统计指标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包括事故起数、死亡事故起数、死亡人数、受伤人数、直接财产损失、重大事故起数、重大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事故死亡人数、特别重大事故起数、特别重大事故死亡人数、万车死亡率、十万人死亡率、生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产性事故起数、生产性事故死亡人数、重大事故率</w:t>
            </w:r>
          </w:p>
        </w:tc>
      </w:tr>
      <w:tr>
        <w:tblPrEx>
          <w:tblLayout w:type="fixed"/>
          <w:tblCellMar>
            <w:top w:w="0" w:type="dxa"/>
            <w:left w:w="0" w:type="dxa"/>
            <w:bottom w:w="0" w:type="dxa"/>
            <w:right w:w="0" w:type="dxa"/>
          </w:tblCellMar>
        </w:tblPrEx>
        <w:trPr>
          <w:trHeight w:val="801"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计指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标体</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火灾事故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统计指标</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包括事故起数、死亡事故起数、死亡人数、受伤人数、直接财产损失、重大事故起数、重大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事故死亡人数、特别重大事故起数、特别重大事故死亡人数、百万人火灾发生率、百万人火灾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死亡率、生产性事故起数、生产性事故死亡人数、重大事故率</w:t>
            </w:r>
          </w:p>
        </w:tc>
      </w:tr>
      <w:tr>
        <w:tblPrEx>
          <w:tblLayout w:type="fixed"/>
          <w:tblCellMar>
            <w:top w:w="0" w:type="dxa"/>
            <w:left w:w="0" w:type="dxa"/>
            <w:bottom w:w="0" w:type="dxa"/>
            <w:right w:w="0" w:type="dxa"/>
          </w:tblCellMar>
        </w:tblPrEx>
        <w:trPr>
          <w:trHeight w:val="801" w:hRule="atLeast"/>
        </w:trPr>
        <w:tc>
          <w:tcPr>
            <w:tcW w:w="46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4"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水上交通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事故统计指标</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包括事故起数、死亡事故起数、死亡和失踪人数、受伤人数、直接经济损失、重大事故起</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数、重大事故死亡人数、特别重大事故起数、特别重大事故死亡人数、沉船艘数、千艘船事故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率、亿客公里死亡率、重大事故率</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09" w:type="dxa"/>
        <w:tblInd w:w="15" w:type="dxa"/>
        <w:tblLayout w:type="fixed"/>
        <w:tblCellMar>
          <w:top w:w="0" w:type="dxa"/>
          <w:left w:w="0" w:type="dxa"/>
          <w:bottom w:w="0" w:type="dxa"/>
          <w:right w:w="0" w:type="dxa"/>
        </w:tblCellMar>
      </w:tblPr>
      <w:tblGrid>
        <w:gridCol w:w="465"/>
        <w:gridCol w:w="1114"/>
        <w:gridCol w:w="6830"/>
      </w:tblGrid>
      <w:tr>
        <w:tblPrEx>
          <w:tblLayout w:type="fixed"/>
          <w:tblCellMar>
            <w:top w:w="0" w:type="dxa"/>
            <w:left w:w="0" w:type="dxa"/>
            <w:bottom w:w="0" w:type="dxa"/>
            <w:right w:w="0" w:type="dxa"/>
          </w:tblCellMar>
        </w:tblPrEx>
        <w:trPr>
          <w:trHeight w:val="292"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统计指标体系</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964"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铁路交通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事故统计指标</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包括事故起数、死亡事故起数、死亡人数、受伤人数、直接经济损失、重大事故起数、重大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事故死亡人数、特别重大事故起数、特别重大事故死亡人数、百万机车总走行公里死亡率、重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大事故率</w:t>
            </w:r>
          </w:p>
        </w:tc>
      </w:tr>
      <w:tr>
        <w:tblPrEx>
          <w:tblLayout w:type="fixed"/>
          <w:tblCellMar>
            <w:top w:w="0" w:type="dxa"/>
            <w:left w:w="0" w:type="dxa"/>
            <w:bottom w:w="0" w:type="dxa"/>
            <w:right w:w="0" w:type="dxa"/>
          </w:tblCellMar>
        </w:tblPrEx>
        <w:trPr>
          <w:trHeight w:val="700"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行业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类统</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民航飞行事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故统计指标</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包括飞行事故起数、死亡事故起数、死亡人数、受伤人数、重大事故万时率、亿客公里死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亡率</w:t>
            </w:r>
          </w:p>
        </w:tc>
      </w:tr>
      <w:tr>
        <w:tblPrEx>
          <w:tblLayout w:type="fixed"/>
          <w:tblCellMar>
            <w:top w:w="0" w:type="dxa"/>
            <w:left w:w="0" w:type="dxa"/>
            <w:bottom w:w="0" w:type="dxa"/>
            <w:right w:w="0" w:type="dxa"/>
          </w:tblCellMar>
        </w:tblPrEx>
        <w:trPr>
          <w:trHeight w:val="720" w:hRule="atLeast"/>
        </w:trPr>
        <w:tc>
          <w:tcPr>
            <w:tcW w:w="46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计指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标体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系</w:t>
            </w: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农机事故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统计指标</w:t>
            </w: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包括伤亡事故起数、死亡事故起数、死亡人数、重伤人数、轻伤人数、直接经济损失、重大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事故起数、重大事故死亡人数、特别重大事故起数、特别重大事故死亡人数、重大事故率</w:t>
            </w:r>
          </w:p>
        </w:tc>
      </w:tr>
      <w:tr>
        <w:tblPrEx>
          <w:tblLayout w:type="fixed"/>
          <w:tblCellMar>
            <w:top w:w="0" w:type="dxa"/>
            <w:left w:w="0" w:type="dxa"/>
            <w:bottom w:w="0" w:type="dxa"/>
            <w:right w:w="0" w:type="dxa"/>
          </w:tblCellMar>
        </w:tblPrEx>
        <w:trPr>
          <w:trHeight w:val="950" w:hRule="atLeast"/>
        </w:trPr>
        <w:tc>
          <w:tcPr>
            <w:tcW w:w="46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4"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渔业船舶</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事故统计指标</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包括事故起数、死亡事故起数、死亡和失踪人数、受伤人数、直接经济损失、重大事故起</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数、重大事故死亡人数、特别重大事故起数、特别重大事故死亡人数、千艘船事故率、重大事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故率</w:t>
            </w:r>
          </w:p>
        </w:tc>
      </w:tr>
      <w:tr>
        <w:tblPrEx>
          <w:tblLayout w:type="fixed"/>
          <w:tblCellMar>
            <w:top w:w="0" w:type="dxa"/>
            <w:left w:w="0" w:type="dxa"/>
            <w:bottom w:w="0" w:type="dxa"/>
            <w:right w:w="0" w:type="dxa"/>
          </w:tblCellMar>
        </w:tblPrEx>
        <w:trPr>
          <w:trHeight w:val="715" w:hRule="atLeast"/>
        </w:trPr>
        <w:tc>
          <w:tcPr>
            <w:tcW w:w="1579"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地区安全评价类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统计指标体系</w:t>
            </w: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包括死亡事故起数、死亡人数、直接经济损失、重大事故起数、重大事故死亡人数、特别重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大事故起数、特别重大人口死亡人数、亿元国内生产总值</w:t>
            </w:r>
            <w:r>
              <w:rPr>
                <w:rFonts w:hint="eastAsia" w:ascii="微软雅黑" w:hAnsi="微软雅黑" w:eastAsia="微软雅黑" w:cs="微软雅黑"/>
                <w:color w:val="000000"/>
                <w:kern w:val="0"/>
                <w:sz w:val="18"/>
                <w:szCs w:val="18"/>
              </w:rPr>
              <w:t>(GDP)</w:t>
            </w:r>
            <w:r>
              <w:rPr>
                <w:rFonts w:hint="eastAsia" w:ascii="微软雅黑" w:hAnsi="微软雅黑" w:eastAsia="微软雅黑" w:cs="微软雅黑"/>
                <w:color w:val="000000"/>
                <w:kern w:val="0"/>
                <w:sz w:val="18"/>
                <w:szCs w:val="18"/>
              </w:rPr>
              <w:t>死亡率、十万人死亡率</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考点十九</w:t>
      </w:r>
      <w:r>
        <w:rPr>
          <w:rFonts w:hint="eastAsia" w:ascii="微软雅黑" w:hAnsi="微软雅黑" w:eastAsia="微软雅黑" w:cs="微软雅黑"/>
          <w:color w:val="000000"/>
          <w:sz w:val="18"/>
          <w:szCs w:val="18"/>
        </w:rPr>
        <w:t>事故统计指标的计算及伤亡事故统计分析方法(表5—19)</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5—19事故统计指标的计算及伤亡事故统计分析方法</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672"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事故统计指标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的计算方法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千人死亡率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死亡人数／从业人员数×</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vertAlign w:val="superscript"/>
              </w:rPr>
              <w:t>3</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千人重伤率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重伤人数／从业人员数×</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vertAlign w:val="superscript"/>
              </w:rPr>
              <w:t>3</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百万工时死亡率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死亡人数／实际总丁时×</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vertAlign w:val="superscript"/>
              </w:rPr>
              <w:t>6</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百万吨死亡率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死亡人数／实际产量</w:t>
            </w:r>
            <w:r>
              <w:rPr>
                <w:rFonts w:hint="eastAsia" w:ascii="微软雅黑" w:hAnsi="微软雅黑" w:eastAsia="微软雅黑" w:cs="微软雅黑"/>
                <w:color w:val="000000"/>
                <w:kern w:val="0"/>
                <w:sz w:val="18"/>
                <w:szCs w:val="18"/>
              </w:rPr>
              <w:t>(t)</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vertAlign w:val="superscript"/>
              </w:rPr>
              <w:t>6</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重大事故率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重大事故起数／事故总起数×</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百万人火灾发生率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火灾发生次数／地区总人口×</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vertAlign w:val="superscript"/>
              </w:rPr>
              <w:t>6</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百万人火灾死亡率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火灾造成的死亡人数／地区总人口×</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vertAlign w:val="superscript"/>
              </w:rPr>
              <w:t>6</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万车死亡率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机动车造成的死亡人数／机动车数×</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vertAlign w:val="superscript"/>
              </w:rPr>
              <w:t>4</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卜万人死亡率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死亡人数／地区总人口×</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vertAlign w:val="superscript"/>
              </w:rPr>
              <w:t>5</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亿客公里死亡率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死亡人数／</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运营旅客人数×运营公里总数</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vertAlign w:val="superscript"/>
              </w:rPr>
              <w:t>8</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(11)</w:t>
            </w:r>
            <w:r>
              <w:rPr>
                <w:rFonts w:hint="eastAsia" w:ascii="微软雅黑" w:hAnsi="微软雅黑" w:eastAsia="微软雅黑" w:cs="微软雅黑"/>
                <w:color w:val="000000"/>
                <w:kern w:val="0"/>
                <w:sz w:val="18"/>
                <w:szCs w:val="18"/>
              </w:rPr>
              <w:t>千艘船事故率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一般以上事故船舶总艘数／本省</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本单位</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船舶总艘数×</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vertAlign w:val="superscript"/>
              </w:rPr>
              <w:t>3</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(12)</w:t>
            </w:r>
            <w:r>
              <w:rPr>
                <w:rFonts w:hint="eastAsia" w:ascii="微软雅黑" w:hAnsi="微软雅黑" w:eastAsia="微软雅黑" w:cs="微软雅黑"/>
                <w:color w:val="000000"/>
                <w:kern w:val="0"/>
                <w:sz w:val="18"/>
                <w:szCs w:val="18"/>
              </w:rPr>
              <w:t>百万机车总走行公里死亡率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死亡人数</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机车总走行公里×</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vertAlign w:val="superscript"/>
              </w:rPr>
              <w:t>6</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(13)</w:t>
            </w:r>
            <w:r>
              <w:rPr>
                <w:rFonts w:hint="eastAsia" w:ascii="微软雅黑" w:hAnsi="微软雅黑" w:eastAsia="微软雅黑" w:cs="微软雅黑"/>
                <w:color w:val="000000"/>
                <w:kern w:val="0"/>
                <w:sz w:val="18"/>
                <w:szCs w:val="18"/>
              </w:rPr>
              <w:t>重大事故万时率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重大事故次数／飞行总小时</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vertAlign w:val="superscript"/>
              </w:rPr>
              <w:t>4</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(14)</w:t>
            </w:r>
            <w:r>
              <w:rPr>
                <w:rFonts w:hint="eastAsia" w:ascii="微软雅黑" w:hAnsi="微软雅黑" w:eastAsia="微软雅黑" w:cs="微软雅黑"/>
                <w:color w:val="000000"/>
                <w:kern w:val="0"/>
                <w:sz w:val="18"/>
                <w:szCs w:val="18"/>
              </w:rPr>
              <w:t>亿元国内生产总值</w:t>
            </w:r>
            <w:r>
              <w:rPr>
                <w:rFonts w:hint="eastAsia" w:ascii="微软雅黑" w:hAnsi="微软雅黑" w:eastAsia="微软雅黑" w:cs="微软雅黑"/>
                <w:color w:val="000000"/>
                <w:kern w:val="0"/>
                <w:sz w:val="18"/>
                <w:szCs w:val="18"/>
              </w:rPr>
              <w:t>(GDP)</w:t>
            </w:r>
            <w:r>
              <w:rPr>
                <w:rFonts w:hint="eastAsia" w:ascii="微软雅黑" w:hAnsi="微软雅黑" w:eastAsia="微软雅黑" w:cs="微软雅黑"/>
                <w:color w:val="000000"/>
                <w:kern w:val="0"/>
                <w:sz w:val="18"/>
                <w:szCs w:val="18"/>
              </w:rPr>
              <w:t>死亡率</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死亡人数／国内生产总值</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元</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vertAlign w:val="superscript"/>
              </w:rPr>
              <w:t>8</w:t>
            </w:r>
          </w:p>
        </w:tc>
      </w:tr>
      <w:tr>
        <w:tblPrEx>
          <w:tblLayout w:type="fixed"/>
          <w:tblCellMar>
            <w:top w:w="0" w:type="dxa"/>
            <w:left w:w="0" w:type="dxa"/>
            <w:bottom w:w="0" w:type="dxa"/>
            <w:right w:w="0" w:type="dxa"/>
          </w:tblCellMar>
        </w:tblPrEx>
        <w:trPr>
          <w:trHeight w:val="223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伤亡事故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统计分析方法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综合分析法：将事故资料总结分类，将汇总整理的资料及有关数值，形成书面分析材料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或填入统计表或绘制统计图。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分组分析法：按伤亡事故有关特征分类汇总，研究事故发生情况。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算数平均法。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相对指标比较法。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统计图表法：事故常用的统计图有趋势图、柱状图、饼图。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排列图</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主次图</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：是直方图与折线图的结合。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控制图</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考点二十</w:t>
      </w:r>
      <w:r>
        <w:rPr>
          <w:rFonts w:hint="eastAsia" w:ascii="微软雅黑" w:hAnsi="微软雅黑" w:eastAsia="微软雅黑" w:cs="微软雅黑"/>
          <w:color w:val="000000"/>
          <w:kern w:val="0"/>
          <w:sz w:val="18"/>
          <w:szCs w:val="18"/>
        </w:rPr>
        <w:t>伤亡事故经济损失计算方法(表5—20)</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5—20伤亡事故经济损失计算方法</w:t>
      </w:r>
    </w:p>
    <w:tbl>
      <w:tblPr>
        <w:tblStyle w:val="4"/>
        <w:tblW w:w="8419" w:type="dxa"/>
        <w:tblInd w:w="15" w:type="dxa"/>
        <w:tblLayout w:type="fixed"/>
        <w:tblCellMar>
          <w:top w:w="0" w:type="dxa"/>
          <w:left w:w="0" w:type="dxa"/>
          <w:bottom w:w="0" w:type="dxa"/>
          <w:right w:w="0" w:type="dxa"/>
        </w:tblCellMar>
      </w:tblPr>
      <w:tblGrid>
        <w:gridCol w:w="475"/>
        <w:gridCol w:w="1113"/>
        <w:gridCol w:w="6831"/>
      </w:tblGrid>
      <w:tr>
        <w:tblPrEx>
          <w:tblLayout w:type="fixed"/>
          <w:tblCellMar>
            <w:top w:w="0" w:type="dxa"/>
            <w:left w:w="0" w:type="dxa"/>
            <w:bottom w:w="0" w:type="dxa"/>
            <w:right w:w="0" w:type="dxa"/>
          </w:tblCellMar>
        </w:tblPrEx>
        <w:trPr>
          <w:trHeight w:val="30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07"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直接经济损失定义</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因事故造成人身伤亡及善后处理支出的费用和毁坏财产的价值</w:t>
            </w:r>
          </w:p>
        </w:tc>
      </w:tr>
      <w:tr>
        <w:tblPrEx>
          <w:tblLayout w:type="fixed"/>
          <w:tblCellMar>
            <w:top w:w="0" w:type="dxa"/>
            <w:left w:w="0" w:type="dxa"/>
            <w:bottom w:w="0" w:type="dxa"/>
            <w:right w:w="0" w:type="dxa"/>
          </w:tblCellMar>
        </w:tblPrEx>
        <w:trPr>
          <w:trHeight w:val="316"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间接经济损失定义</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因事故导致产值减少、资源破坏和受事故影响而造成其他损失的价值</w:t>
            </w:r>
          </w:p>
        </w:tc>
      </w:tr>
      <w:tr>
        <w:tblPrEx>
          <w:tblLayout w:type="fixed"/>
        </w:tblPrEx>
        <w:trPr>
          <w:trHeight w:val="1123"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直接</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人身伤亡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后所支出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的费用</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医疗费用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含护理费用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丧葬及抚恤费用。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补助及救济费用。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歇工工资</w:t>
            </w:r>
          </w:p>
        </w:tc>
      </w:tr>
      <w:tr>
        <w:tblPrEx>
          <w:tblLayout w:type="fixed"/>
          <w:tblCellMar>
            <w:top w:w="0" w:type="dxa"/>
            <w:left w:w="0" w:type="dxa"/>
            <w:bottom w:w="0" w:type="dxa"/>
            <w:right w:w="0" w:type="dxa"/>
          </w:tblCellMar>
        </w:tblPrEx>
        <w:trPr>
          <w:trHeight w:val="1113" w:hRule="atLeast"/>
        </w:trPr>
        <w:tc>
          <w:tcPr>
            <w:tcW w:w="47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损失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计范</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围</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善后处理费用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处理事故的事务性费用。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现场抢救费用。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清理现场费用。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事故罚款和赔偿费用</w:t>
            </w:r>
          </w:p>
        </w:tc>
      </w:tr>
      <w:tr>
        <w:tblPrEx>
          <w:tblLayout w:type="fixed"/>
          <w:tblCellMar>
            <w:top w:w="0" w:type="dxa"/>
            <w:left w:w="0" w:type="dxa"/>
            <w:bottom w:w="0" w:type="dxa"/>
            <w:right w:w="0" w:type="dxa"/>
          </w:tblCellMar>
        </w:tblPrEx>
        <w:trPr>
          <w:trHeight w:val="638" w:hRule="atLeast"/>
        </w:trPr>
        <w:tc>
          <w:tcPr>
            <w:tcW w:w="47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财产损失价值</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固定资产损失价值。</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流动资产损失价值</w:t>
            </w:r>
          </w:p>
        </w:tc>
      </w:tr>
      <w:tr>
        <w:tblPrEx>
          <w:tblLayout w:type="fixed"/>
          <w:tblCellMar>
            <w:top w:w="0" w:type="dxa"/>
            <w:left w:w="0" w:type="dxa"/>
            <w:bottom w:w="0" w:type="dxa"/>
            <w:right w:w="0" w:type="dxa"/>
          </w:tblCellMar>
        </w:tblPrEx>
        <w:trPr>
          <w:trHeight w:val="1598"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间接经济损失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的统计范围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停产、减产损失价值。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工作损失价值。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资源损失价值。</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处理环境污染的费用。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补充新职工的培训费用。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其他损失费用</w:t>
            </w:r>
          </w:p>
        </w:tc>
      </w:tr>
      <w:tr>
        <w:tblPrEx>
          <w:tblLayout w:type="fixed"/>
          <w:tblCellMar>
            <w:top w:w="0" w:type="dxa"/>
            <w:left w:w="0" w:type="dxa"/>
            <w:bottom w:w="0" w:type="dxa"/>
            <w:right w:w="0" w:type="dxa"/>
          </w:tblCellMar>
        </w:tblPrEx>
        <w:trPr>
          <w:trHeight w:val="1118"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经济损失计算</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E=E</w:t>
            </w:r>
            <w:r>
              <w:rPr>
                <w:rFonts w:hint="eastAsia" w:ascii="微软雅黑" w:hAnsi="微软雅黑" w:eastAsia="微软雅黑" w:cs="微软雅黑"/>
                <w:color w:val="000000"/>
                <w:kern w:val="0"/>
                <w:sz w:val="18"/>
                <w:szCs w:val="18"/>
                <w:vertAlign w:val="subscript"/>
              </w:rPr>
              <w:t>d</w:t>
            </w:r>
            <w:r>
              <w:rPr>
                <w:rFonts w:hint="eastAsia" w:ascii="微软雅黑" w:hAnsi="微软雅黑" w:eastAsia="微软雅黑" w:cs="微软雅黑"/>
                <w:color w:val="000000"/>
                <w:kern w:val="0"/>
                <w:sz w:val="18"/>
                <w:szCs w:val="18"/>
              </w:rPr>
              <w:t>+E</w:t>
            </w:r>
            <w:r>
              <w:rPr>
                <w:rFonts w:hint="eastAsia" w:ascii="微软雅黑" w:hAnsi="微软雅黑" w:eastAsia="微软雅黑" w:cs="微软雅黑"/>
                <w:color w:val="000000"/>
                <w:kern w:val="0"/>
                <w:sz w:val="18"/>
                <w:szCs w:val="18"/>
                <w:vertAlign w:val="subscript"/>
              </w:rPr>
              <w:t>i</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式中</w:t>
            </w:r>
            <w:r>
              <w:rPr>
                <w:rFonts w:hint="eastAsia" w:ascii="微软雅黑" w:hAnsi="微软雅黑" w:eastAsia="微软雅黑" w:cs="微软雅黑"/>
                <w:color w:val="000000"/>
                <w:kern w:val="0"/>
                <w:sz w:val="18"/>
                <w:szCs w:val="18"/>
              </w:rPr>
              <w:t>E</w:t>
            </w:r>
            <w:r>
              <w:rPr>
                <w:rFonts w:hint="eastAsia" w:ascii="微软雅黑" w:hAnsi="微软雅黑" w:eastAsia="微软雅黑" w:cs="微软雅黑"/>
                <w:color w:val="000000"/>
                <w:kern w:val="0"/>
                <w:sz w:val="18"/>
                <w:szCs w:val="18"/>
              </w:rPr>
              <w:t>——经济损失，万元；</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E</w:t>
            </w:r>
            <w:r>
              <w:rPr>
                <w:rFonts w:hint="eastAsia" w:ascii="微软雅黑" w:hAnsi="微软雅黑" w:eastAsia="微软雅黑" w:cs="微软雅黑"/>
                <w:color w:val="000000"/>
                <w:kern w:val="0"/>
                <w:sz w:val="18"/>
                <w:szCs w:val="18"/>
                <w:vertAlign w:val="subscript"/>
              </w:rPr>
              <w:t>d</w:t>
            </w:r>
            <w:r>
              <w:rPr>
                <w:rFonts w:hint="eastAsia" w:ascii="微软雅黑" w:hAnsi="微软雅黑" w:eastAsia="微软雅黑" w:cs="微软雅黑"/>
                <w:color w:val="000000"/>
                <w:kern w:val="0"/>
                <w:sz w:val="18"/>
                <w:szCs w:val="18"/>
              </w:rPr>
              <w:t>——直接经济损失，万元；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E</w:t>
            </w:r>
            <w:r>
              <w:rPr>
                <w:rFonts w:hint="eastAsia" w:ascii="微软雅黑" w:hAnsi="微软雅黑" w:eastAsia="微软雅黑" w:cs="微软雅黑"/>
                <w:color w:val="000000"/>
                <w:kern w:val="0"/>
                <w:sz w:val="18"/>
                <w:szCs w:val="18"/>
              </w:rPr>
              <w:t>——间接经济损失，万元</w:t>
            </w:r>
          </w:p>
        </w:tc>
      </w:tr>
      <w:tr>
        <w:tblPrEx>
          <w:tblLayout w:type="fixed"/>
          <w:tblCellMar>
            <w:top w:w="0" w:type="dxa"/>
            <w:left w:w="0" w:type="dxa"/>
            <w:bottom w:w="0" w:type="dxa"/>
            <w:right w:w="0" w:type="dxa"/>
          </w:tblCellMar>
        </w:tblPrEx>
        <w:trPr>
          <w:trHeight w:val="1598"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工作损失价值计算</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V</w:t>
            </w:r>
            <w:r>
              <w:rPr>
                <w:rFonts w:hint="eastAsia" w:ascii="微软雅黑" w:hAnsi="微软雅黑" w:eastAsia="微软雅黑" w:cs="微软雅黑"/>
                <w:color w:val="000000"/>
                <w:kern w:val="0"/>
                <w:sz w:val="18"/>
                <w:szCs w:val="18"/>
                <w:vertAlign w:val="subscript"/>
              </w:rPr>
              <w:t>w</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D</w:t>
            </w:r>
            <w:r>
              <w:rPr>
                <w:rFonts w:hint="eastAsia" w:ascii="微软雅黑" w:hAnsi="微软雅黑" w:eastAsia="微软雅黑" w:cs="微软雅黑"/>
                <w:color w:val="000000"/>
                <w:kern w:val="0"/>
                <w:sz w:val="18"/>
                <w:szCs w:val="18"/>
                <w:vertAlign w:val="subscript"/>
              </w:rPr>
              <w:t>L</w:t>
            </w:r>
            <w:r>
              <w:rPr>
                <w:rFonts w:hint="eastAsia" w:ascii="微软雅黑" w:hAnsi="微软雅黑" w:eastAsia="微软雅黑" w:cs="微软雅黑"/>
                <w:color w:val="000000"/>
                <w:kern w:val="0"/>
                <w:sz w:val="18"/>
                <w:szCs w:val="18"/>
              </w:rPr>
              <w:t>M</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(SD)</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式中</w:t>
            </w:r>
            <w:r>
              <w:rPr>
                <w:rFonts w:hint="eastAsia" w:ascii="微软雅黑" w:hAnsi="微软雅黑" w:eastAsia="微软雅黑" w:cs="微软雅黑"/>
                <w:color w:val="000000"/>
                <w:kern w:val="0"/>
                <w:sz w:val="18"/>
                <w:szCs w:val="18"/>
              </w:rPr>
              <w:t>V</w:t>
            </w:r>
            <w:r>
              <w:rPr>
                <w:rFonts w:hint="eastAsia" w:ascii="微软雅黑" w:hAnsi="微软雅黑" w:eastAsia="微软雅黑" w:cs="微软雅黑"/>
                <w:color w:val="000000"/>
                <w:kern w:val="0"/>
                <w:sz w:val="18"/>
                <w:szCs w:val="18"/>
                <w:vertAlign w:val="subscript"/>
              </w:rPr>
              <w:t>w</w:t>
            </w:r>
            <w:r>
              <w:rPr>
                <w:rFonts w:hint="eastAsia" w:ascii="微软雅黑" w:hAnsi="微软雅黑" w:eastAsia="微软雅黑" w:cs="微软雅黑"/>
                <w:color w:val="000000"/>
                <w:kern w:val="0"/>
                <w:sz w:val="18"/>
                <w:szCs w:val="18"/>
              </w:rPr>
              <w:t>——工作损失价值，万元；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D</w:t>
            </w:r>
            <w:r>
              <w:rPr>
                <w:rFonts w:hint="eastAsia" w:ascii="微软雅黑" w:hAnsi="微软雅黑" w:eastAsia="微软雅黑" w:cs="微软雅黑"/>
                <w:color w:val="000000"/>
                <w:kern w:val="0"/>
                <w:sz w:val="18"/>
                <w:szCs w:val="18"/>
                <w:vertAlign w:val="subscript"/>
              </w:rPr>
              <w:t>L</w:t>
            </w:r>
            <w:r>
              <w:rPr>
                <w:rFonts w:hint="eastAsia" w:ascii="微软雅黑" w:hAnsi="微软雅黑" w:eastAsia="微软雅黑" w:cs="微软雅黑"/>
                <w:color w:val="000000"/>
                <w:kern w:val="0"/>
                <w:sz w:val="18"/>
                <w:szCs w:val="18"/>
              </w:rPr>
              <w:t>——起事故的总损失工作日数，日；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M</w:t>
            </w:r>
            <w:r>
              <w:rPr>
                <w:rFonts w:hint="eastAsia" w:ascii="微软雅黑" w:hAnsi="微软雅黑" w:eastAsia="微软雅黑" w:cs="微软雅黑"/>
                <w:color w:val="000000"/>
                <w:kern w:val="0"/>
                <w:sz w:val="18"/>
                <w:szCs w:val="18"/>
              </w:rPr>
              <w:t>——企业上年税利</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税金加利润</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，万元；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S</w:t>
            </w:r>
            <w:r>
              <w:rPr>
                <w:rFonts w:hint="eastAsia" w:ascii="微软雅黑" w:hAnsi="微软雅黑" w:eastAsia="微软雅黑" w:cs="微软雅黑"/>
                <w:color w:val="000000"/>
                <w:kern w:val="0"/>
                <w:sz w:val="18"/>
                <w:szCs w:val="18"/>
              </w:rPr>
              <w:t>——企业上年平均职工人数；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D</w:t>
            </w:r>
            <w:r>
              <w:rPr>
                <w:rFonts w:hint="eastAsia" w:ascii="微软雅黑" w:hAnsi="微软雅黑" w:eastAsia="微软雅黑" w:cs="微软雅黑"/>
                <w:color w:val="000000"/>
                <w:kern w:val="0"/>
                <w:sz w:val="18"/>
                <w:szCs w:val="18"/>
              </w:rPr>
              <w:t>——企业上年法定工作日数，日</w:t>
            </w:r>
          </w:p>
        </w:tc>
      </w:tr>
      <w:tr>
        <w:tblPrEx>
          <w:tblLayout w:type="fixed"/>
          <w:tblCellMar>
            <w:top w:w="0" w:type="dxa"/>
            <w:left w:w="0" w:type="dxa"/>
            <w:bottom w:w="0" w:type="dxa"/>
            <w:right w:w="0" w:type="dxa"/>
          </w:tblCellMar>
        </w:tblPrEx>
        <w:trPr>
          <w:trHeight w:val="561"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固定资产损失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价值的计算</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报废的固定资产，以固定资产净值一残值计算。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损坏的固定资产，以修复费用计算</w:t>
            </w:r>
          </w:p>
        </w:tc>
      </w:tr>
      <w:tr>
        <w:tblPrEx>
          <w:tblLayout w:type="fixed"/>
          <w:tblCellMar>
            <w:top w:w="0" w:type="dxa"/>
            <w:left w:w="0" w:type="dxa"/>
            <w:bottom w:w="0" w:type="dxa"/>
            <w:right w:w="0" w:type="dxa"/>
          </w:tblCellMar>
        </w:tblPrEx>
        <w:trPr>
          <w:trHeight w:val="561"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流动资产损失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价值的计算</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原材料、燃料、辅助材料等均按账面值一残值计算。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成品、半成品、在制品等均以企业实际成本一残值计算</w:t>
            </w:r>
          </w:p>
        </w:tc>
      </w:tr>
      <w:tr>
        <w:tblPrEx>
          <w:tblLayout w:type="fixed"/>
          <w:tblCellMar>
            <w:top w:w="0" w:type="dxa"/>
            <w:left w:w="0" w:type="dxa"/>
            <w:bottom w:w="0" w:type="dxa"/>
            <w:right w:w="0" w:type="dxa"/>
          </w:tblCellMar>
        </w:tblPrEx>
        <w:trPr>
          <w:trHeight w:val="2078"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经济损失的评价指标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千人经济损失率：</w:t>
            </w:r>
            <w:r>
              <w:rPr>
                <w:rFonts w:hint="eastAsia" w:ascii="微软雅黑" w:hAnsi="微软雅黑" w:eastAsia="微软雅黑" w:cs="微软雅黑"/>
                <w:color w:val="000000"/>
                <w:kern w:val="0"/>
                <w:sz w:val="18"/>
                <w:szCs w:val="18"/>
              </w:rPr>
              <w:t>R</w:t>
            </w:r>
            <w:r>
              <w:rPr>
                <w:rFonts w:hint="eastAsia" w:ascii="微软雅黑" w:hAnsi="微软雅黑" w:eastAsia="微软雅黑" w:cs="微软雅黑"/>
                <w:color w:val="000000"/>
                <w:kern w:val="0"/>
                <w:sz w:val="18"/>
                <w:szCs w:val="18"/>
                <w:vertAlign w:val="subscript"/>
              </w:rPr>
              <w:t>s</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)=E</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S</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1000</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式中</w:t>
            </w:r>
            <w:r>
              <w:rPr>
                <w:rFonts w:hint="eastAsia" w:ascii="微软雅黑" w:hAnsi="微软雅黑" w:eastAsia="微软雅黑" w:cs="微软雅黑"/>
                <w:color w:val="000000"/>
                <w:kern w:val="0"/>
                <w:sz w:val="18"/>
                <w:szCs w:val="18"/>
              </w:rPr>
              <w:t>R</w:t>
            </w:r>
            <w:r>
              <w:rPr>
                <w:rFonts w:hint="eastAsia" w:ascii="微软雅黑" w:hAnsi="微软雅黑" w:eastAsia="微软雅黑" w:cs="微软雅黑"/>
                <w:color w:val="000000"/>
                <w:kern w:val="0"/>
                <w:sz w:val="18"/>
                <w:szCs w:val="18"/>
                <w:vertAlign w:val="subscript"/>
              </w:rPr>
              <w:t>s</w:t>
            </w:r>
            <w:r>
              <w:rPr>
                <w:rFonts w:hint="eastAsia" w:ascii="微软雅黑" w:hAnsi="微软雅黑" w:eastAsia="微软雅黑" w:cs="微软雅黑"/>
                <w:color w:val="000000"/>
                <w:kern w:val="0"/>
                <w:sz w:val="18"/>
                <w:szCs w:val="18"/>
              </w:rPr>
              <w:t>——千人经济损失率；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E</w:t>
            </w:r>
            <w:r>
              <w:rPr>
                <w:rFonts w:hint="eastAsia" w:ascii="微软雅黑" w:hAnsi="微软雅黑" w:eastAsia="微软雅黑" w:cs="微软雅黑"/>
                <w:color w:val="000000"/>
                <w:kern w:val="0"/>
                <w:sz w:val="18"/>
                <w:szCs w:val="18"/>
              </w:rPr>
              <w:t>——全年内经济损失，万元；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S</w:t>
            </w:r>
            <w:r>
              <w:rPr>
                <w:rFonts w:hint="eastAsia" w:ascii="微软雅黑" w:hAnsi="微软雅黑" w:eastAsia="微软雅黑" w:cs="微软雅黑"/>
                <w:color w:val="000000"/>
                <w:kern w:val="0"/>
                <w:sz w:val="18"/>
                <w:szCs w:val="18"/>
              </w:rPr>
              <w:t>——企业平均职工人数，人。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百万元产值经济损失率：</w:t>
            </w:r>
            <w:r>
              <w:rPr>
                <w:rFonts w:hint="eastAsia" w:ascii="微软雅黑" w:hAnsi="微软雅黑" w:eastAsia="微软雅黑" w:cs="微软雅黑"/>
                <w:color w:val="000000"/>
                <w:kern w:val="0"/>
                <w:sz w:val="18"/>
                <w:szCs w:val="18"/>
              </w:rPr>
              <w:t>R</w:t>
            </w:r>
            <w:r>
              <w:rPr>
                <w:rFonts w:hint="eastAsia" w:ascii="微软雅黑" w:hAnsi="微软雅黑" w:eastAsia="微软雅黑" w:cs="微软雅黑"/>
                <w:color w:val="000000"/>
                <w:kern w:val="0"/>
                <w:sz w:val="18"/>
                <w:szCs w:val="18"/>
                <w:vertAlign w:val="subscript"/>
              </w:rPr>
              <w:t>v</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)=E</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V</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100</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式中</w:t>
            </w:r>
            <w:r>
              <w:rPr>
                <w:rFonts w:hint="eastAsia" w:ascii="微软雅黑" w:hAnsi="微软雅黑" w:eastAsia="微软雅黑" w:cs="微软雅黑"/>
                <w:color w:val="000000"/>
                <w:kern w:val="0"/>
                <w:sz w:val="18"/>
                <w:szCs w:val="18"/>
              </w:rPr>
              <w:t>R</w:t>
            </w:r>
            <w:r>
              <w:rPr>
                <w:rFonts w:hint="eastAsia" w:ascii="微软雅黑" w:hAnsi="微软雅黑" w:eastAsia="微软雅黑" w:cs="微软雅黑"/>
                <w:color w:val="000000"/>
                <w:kern w:val="0"/>
                <w:sz w:val="18"/>
                <w:szCs w:val="18"/>
                <w:vertAlign w:val="subscript"/>
              </w:rPr>
              <w:t>v</w:t>
            </w:r>
            <w:r>
              <w:rPr>
                <w:rFonts w:hint="eastAsia" w:ascii="微软雅黑" w:hAnsi="微软雅黑" w:eastAsia="微软雅黑" w:cs="微软雅黑"/>
                <w:color w:val="000000"/>
                <w:kern w:val="0"/>
                <w:sz w:val="18"/>
                <w:szCs w:val="18"/>
              </w:rPr>
              <w:t>——百万元产值经纪损失率；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E</w:t>
            </w:r>
            <w:r>
              <w:rPr>
                <w:rFonts w:hint="eastAsia" w:ascii="微软雅黑" w:hAnsi="微软雅黑" w:eastAsia="微软雅黑" w:cs="微软雅黑"/>
                <w:color w:val="000000"/>
                <w:kern w:val="0"/>
                <w:sz w:val="18"/>
                <w:szCs w:val="18"/>
              </w:rPr>
              <w:t>——全年内经济损失，万元；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V</w:t>
            </w:r>
            <w:r>
              <w:rPr>
                <w:rFonts w:hint="eastAsia" w:ascii="微软雅黑" w:hAnsi="微软雅黑" w:eastAsia="微软雅黑" w:cs="微软雅黑"/>
                <w:color w:val="000000"/>
                <w:kern w:val="0"/>
                <w:sz w:val="18"/>
                <w:szCs w:val="18"/>
              </w:rPr>
              <w:t>——企业总产值，万元</w:t>
            </w:r>
          </w:p>
        </w:tc>
      </w:tr>
    </w:tbl>
    <w:p>
      <w:pPr>
        <w:rPr>
          <w:rFonts w:hint="eastAsia" w:ascii="微软雅黑" w:hAnsi="微软雅黑" w:eastAsia="微软雅黑" w:cs="微软雅黑"/>
          <w:color w:val="000000"/>
          <w:sz w:val="18"/>
          <w:szCs w:val="1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5B2F"/>
    <w:rsid w:val="00043B81"/>
    <w:rsid w:val="002937DB"/>
    <w:rsid w:val="004708C3"/>
    <w:rsid w:val="00480A97"/>
    <w:rsid w:val="00637307"/>
    <w:rsid w:val="007B57DC"/>
    <w:rsid w:val="007C5A66"/>
    <w:rsid w:val="00804060"/>
    <w:rsid w:val="008E555D"/>
    <w:rsid w:val="00BE0CBD"/>
    <w:rsid w:val="00D05B2F"/>
    <w:rsid w:val="00DB79BF"/>
    <w:rsid w:val="00DF554C"/>
    <w:rsid w:val="09F17004"/>
    <w:rsid w:val="34180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40</Pages>
  <Words>5585</Words>
  <Characters>31840</Characters>
  <Lines>265</Lines>
  <Paragraphs>74</Paragraphs>
  <TotalTime>0</TotalTime>
  <ScaleCrop>false</ScaleCrop>
  <LinksUpToDate>false</LinksUpToDate>
  <CharactersWithSpaces>37351</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2017-06-19T02:01:00Z</dcterms:created>
  <dc:creator>个人用户</dc:creator>
  <cp:lastModifiedBy>hp</cp:lastModifiedBy>
  <dcterms:modified xsi:type="dcterms:W3CDTF">2017-08-26T13:29:59Z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